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240"/>
        <w:rPr>
          <w:rFonts w:hint="eastAsia" w:ascii="宋体" w:hAnsi="宋体"/>
          <w:b/>
          <w:bCs/>
          <w:sz w:val="72"/>
          <w:szCs w:val="72"/>
        </w:rPr>
      </w:pPr>
    </w:p>
    <w:p>
      <w:pPr>
        <w:spacing w:before="240" w:after="240"/>
        <w:jc w:val="center"/>
        <w:rPr>
          <w:rFonts w:ascii="宋体" w:hAnsi="宋体" w:eastAsia="宋体"/>
          <w:b/>
          <w:bCs/>
          <w:sz w:val="72"/>
          <w:szCs w:val="72"/>
        </w:rPr>
      </w:pPr>
      <w:r>
        <w:rPr>
          <w:rFonts w:hint="eastAsia" w:ascii="宋体" w:hAnsi="宋体"/>
          <w:b/>
          <w:bCs/>
          <w:sz w:val="72"/>
          <w:szCs w:val="72"/>
        </w:rPr>
        <w:t xml:space="preserve">                     </w:t>
      </w:r>
    </w:p>
    <w:p>
      <w:pPr>
        <w:spacing w:before="240" w:after="240"/>
        <w:jc w:val="center"/>
        <w:outlineLvl w:val="0"/>
        <w:rPr>
          <w:rFonts w:hint="eastAsia" w:ascii="黑体" w:hAnsi="黑体" w:eastAsia="黑体" w:cs="黑体"/>
          <w:sz w:val="84"/>
          <w:szCs w:val="84"/>
        </w:rPr>
      </w:pPr>
      <w:bookmarkStart w:id="0" w:name="_Toc4377"/>
      <w:r>
        <w:rPr>
          <w:rFonts w:hint="eastAsia" w:ascii="黑体" w:hAnsi="黑体" w:eastAsia="黑体" w:cs="黑体"/>
          <w:sz w:val="84"/>
          <w:szCs w:val="84"/>
        </w:rPr>
        <w:t>遵义日报社202</w:t>
      </w:r>
      <w:r>
        <w:rPr>
          <w:rFonts w:hint="eastAsia" w:ascii="黑体" w:hAnsi="黑体" w:eastAsia="黑体" w:cs="黑体"/>
          <w:sz w:val="84"/>
          <w:szCs w:val="84"/>
          <w:lang w:val="en-US" w:eastAsia="zh-CN"/>
        </w:rPr>
        <w:t>1</w:t>
      </w:r>
      <w:r>
        <w:rPr>
          <w:rFonts w:hint="eastAsia" w:ascii="黑体" w:hAnsi="黑体" w:eastAsia="黑体" w:cs="黑体"/>
          <w:sz w:val="84"/>
          <w:szCs w:val="84"/>
        </w:rPr>
        <w:t>年度</w:t>
      </w:r>
      <w:bookmarkEnd w:id="0"/>
      <w:bookmarkStart w:id="1" w:name="_Toc11654"/>
    </w:p>
    <w:p>
      <w:pPr>
        <w:spacing w:before="240" w:after="240"/>
        <w:jc w:val="center"/>
        <w:outlineLvl w:val="0"/>
        <w:rPr>
          <w:rFonts w:hint="eastAsia" w:ascii="黑体" w:hAnsi="黑体" w:eastAsia="黑体" w:cs="黑体"/>
          <w:sz w:val="84"/>
          <w:szCs w:val="84"/>
        </w:rPr>
      </w:pPr>
      <w:r>
        <w:rPr>
          <w:rFonts w:hint="eastAsia" w:ascii="黑体" w:hAnsi="黑体" w:eastAsia="黑体" w:cs="黑体"/>
          <w:sz w:val="84"/>
          <w:szCs w:val="84"/>
        </w:rPr>
        <w:t>部门决算</w:t>
      </w:r>
      <w:bookmarkEnd w:id="1"/>
    </w:p>
    <w:p>
      <w:pPr>
        <w:spacing w:before="240" w:after="240"/>
        <w:rPr>
          <w:rFonts w:hint="eastAsia" w:ascii="Calibri" w:hAnsi="Calibri"/>
          <w:sz w:val="48"/>
          <w:szCs w:val="48"/>
        </w:rPr>
      </w:pPr>
      <w:r>
        <w:rPr>
          <w:rFonts w:ascii="Calibri" w:hAnsi="Calibri"/>
          <w:sz w:val="48"/>
          <w:szCs w:val="48"/>
        </w:rPr>
        <w:t xml:space="preserve"> </w:t>
      </w:r>
    </w:p>
    <w:p>
      <w:pPr>
        <w:rPr>
          <w:rFonts w:ascii="Calibri" w:hAnsi="Calibri"/>
          <w:sz w:val="48"/>
          <w:szCs w:val="48"/>
        </w:rPr>
      </w:pPr>
      <w:r>
        <w:rPr>
          <w:rFonts w:ascii="Calibri" w:hAnsi="Calibri"/>
          <w:sz w:val="48"/>
          <w:szCs w:val="48"/>
        </w:rPr>
        <w:t xml:space="preserve"> </w:t>
      </w:r>
    </w:p>
    <w:p>
      <w:pPr>
        <w:rPr>
          <w:rFonts w:ascii="Calibri" w:hAnsi="Calibri"/>
          <w:sz w:val="48"/>
          <w:szCs w:val="48"/>
        </w:rPr>
      </w:pPr>
      <w:r>
        <w:rPr>
          <w:rFonts w:ascii="Calibri" w:hAnsi="Calibri"/>
          <w:sz w:val="48"/>
          <w:szCs w:val="48"/>
        </w:rPr>
        <w:t xml:space="preserve"> </w:t>
      </w:r>
    </w:p>
    <w:p>
      <w:pPr>
        <w:jc w:val="center"/>
        <w:rPr>
          <w:rFonts w:ascii="Calibri" w:hAnsi="Calibri"/>
          <w:sz w:val="44"/>
          <w:szCs w:val="44"/>
        </w:rPr>
      </w:pPr>
      <w:r>
        <w:rPr>
          <w:rFonts w:ascii="Calibri" w:hAnsi="Calibri"/>
          <w:sz w:val="44"/>
          <w:szCs w:val="44"/>
        </w:rPr>
        <w:t xml:space="preserve"> </w:t>
      </w:r>
    </w:p>
    <w:p>
      <w:pPr>
        <w:jc w:val="center"/>
        <w:rPr>
          <w:rFonts w:ascii="Calibri" w:hAnsi="Calibri"/>
          <w:sz w:val="44"/>
          <w:szCs w:val="44"/>
        </w:rPr>
      </w:pPr>
      <w:r>
        <w:rPr>
          <w:rFonts w:ascii="Calibri" w:hAnsi="Calibri"/>
          <w:sz w:val="44"/>
          <w:szCs w:val="44"/>
        </w:rPr>
        <w:t xml:space="preserve"> </w:t>
      </w:r>
    </w:p>
    <w:p>
      <w:pPr>
        <w:rPr>
          <w:rFonts w:ascii="Calibri" w:hAnsi="Calibri"/>
          <w:sz w:val="44"/>
          <w:szCs w:val="44"/>
        </w:rPr>
      </w:pPr>
      <w:r>
        <w:rPr>
          <w:rFonts w:ascii="Calibri" w:hAnsi="Calibri"/>
          <w:sz w:val="44"/>
          <w:szCs w:val="44"/>
        </w:rPr>
        <w:t xml:space="preserve">  </w:t>
      </w:r>
    </w:p>
    <w:p>
      <w:pPr>
        <w:rPr>
          <w:rFonts w:ascii="Calibri" w:hAnsi="Calibri"/>
          <w:sz w:val="44"/>
          <w:szCs w:val="44"/>
        </w:rPr>
      </w:pPr>
      <w:r>
        <w:rPr>
          <w:rFonts w:ascii="Calibri" w:hAnsi="Calibri"/>
          <w:sz w:val="44"/>
          <w:szCs w:val="44"/>
        </w:rPr>
        <w:t xml:space="preserve"> </w:t>
      </w:r>
    </w:p>
    <w:p>
      <w:pPr>
        <w:jc w:val="center"/>
        <w:rPr>
          <w:rFonts w:ascii="Calibri" w:hAnsi="Calibri"/>
          <w:sz w:val="44"/>
          <w:szCs w:val="44"/>
        </w:rPr>
      </w:pPr>
      <w:r>
        <w:rPr>
          <w:rFonts w:ascii="Calibri" w:hAnsi="Calibri"/>
          <w:sz w:val="44"/>
          <w:szCs w:val="44"/>
        </w:rPr>
        <w:t xml:space="preserve">  </w:t>
      </w:r>
    </w:p>
    <w:p>
      <w:pPr>
        <w:jc w:val="center"/>
        <w:outlineLvl w:val="0"/>
        <w:rPr>
          <w:rFonts w:hint="eastAsia" w:ascii="黑体" w:hAnsi="黑体" w:eastAsia="黑体" w:cs="黑体"/>
          <w:sz w:val="44"/>
          <w:szCs w:val="44"/>
        </w:rPr>
      </w:pPr>
      <w:bookmarkStart w:id="2" w:name="_Toc25925"/>
      <w:r>
        <w:rPr>
          <w:rFonts w:hint="eastAsia" w:ascii="黑体" w:hAnsi="黑体" w:eastAsia="黑体" w:cs="黑体"/>
          <w:sz w:val="44"/>
          <w:szCs w:val="44"/>
        </w:rPr>
        <w:t>2022年7月</w:t>
      </w:r>
      <w:bookmarkEnd w:id="2"/>
    </w:p>
    <w:p>
      <w:pPr>
        <w:jc w:val="center"/>
        <w:rPr>
          <w:rFonts w:hint="eastAsia" w:ascii="Calibri" w:hAnsi="Calibri"/>
          <w:b/>
          <w:bCs/>
          <w:sz w:val="44"/>
          <w:szCs w:val="44"/>
        </w:rPr>
      </w:pPr>
    </w:p>
    <w:p>
      <w:pPr>
        <w:jc w:val="center"/>
        <w:rPr>
          <w:rFonts w:hint="eastAsia" w:ascii="Calibri" w:hAnsi="Calibri"/>
          <w:b/>
          <w:bCs/>
          <w:sz w:val="44"/>
          <w:szCs w:val="44"/>
        </w:rPr>
      </w:pPr>
    </w:p>
    <w:p>
      <w:pPr>
        <w:jc w:val="center"/>
        <w:rPr>
          <w:rFonts w:hint="eastAsia" w:ascii="Calibri" w:hAnsi="Calibri"/>
          <w:b/>
          <w:bCs/>
          <w:sz w:val="44"/>
          <w:szCs w:val="44"/>
        </w:rPr>
      </w:pPr>
      <w:bookmarkStart w:id="167" w:name="_GoBack"/>
      <w:bookmarkEnd w:id="167"/>
    </w:p>
    <w:p>
      <w:pPr>
        <w:jc w:val="center"/>
        <w:rPr>
          <w:rFonts w:hint="eastAsia" w:ascii="黑体" w:eastAsia="黑体"/>
          <w:b/>
          <w:szCs w:val="28"/>
        </w:rPr>
      </w:pPr>
      <w:r>
        <w:rPr>
          <w:rFonts w:ascii="Calibri" w:hAnsi="Calibri"/>
          <w:b/>
          <w:bCs/>
          <w:sz w:val="44"/>
          <w:szCs w:val="44"/>
        </w:rPr>
        <w:t xml:space="preserve"> </w:t>
      </w:r>
    </w:p>
    <w:p>
      <w:pPr>
        <w:jc w:val="center"/>
        <w:rPr>
          <w:b/>
          <w:bCs/>
          <w:sz w:val="44"/>
          <w:szCs w:val="44"/>
        </w:rPr>
      </w:pPr>
      <w:bookmarkStart w:id="3" w:name="_Toc21846_WPSOffice_Type2"/>
      <w:r>
        <w:rPr>
          <w:rFonts w:ascii="宋体" w:hAnsi="宋体" w:eastAsia="宋体"/>
          <w:b/>
          <w:bCs/>
          <w:sz w:val="44"/>
          <w:szCs w:val="44"/>
        </w:rPr>
        <w:t>目</w:t>
      </w:r>
      <w:r>
        <w:rPr>
          <w:rFonts w:hint="eastAsia" w:ascii="宋体" w:hAnsi="宋体" w:eastAsia="宋体"/>
          <w:b/>
          <w:bCs/>
          <w:sz w:val="44"/>
          <w:szCs w:val="44"/>
        </w:rPr>
        <w:t xml:space="preserve"> </w:t>
      </w:r>
      <w:r>
        <w:rPr>
          <w:rFonts w:ascii="宋体" w:hAnsi="宋体" w:eastAsia="宋体"/>
          <w:b/>
          <w:bCs/>
          <w:sz w:val="44"/>
          <w:szCs w:val="44"/>
        </w:rPr>
        <w:t>录</w:t>
      </w:r>
    </w:p>
    <w:p>
      <w:pPr>
        <w:pStyle w:val="35"/>
        <w:tabs>
          <w:tab w:val="right" w:leader="dot" w:pos="9070"/>
        </w:tabs>
        <w:rPr>
          <w:b/>
          <w:bCs/>
        </w:rPr>
      </w:pPr>
    </w:p>
    <w:p>
      <w:pPr>
        <w:pStyle w:val="35"/>
        <w:tabs>
          <w:tab w:val="right" w:leader="dot" w:pos="9070"/>
        </w:tabs>
      </w:pPr>
      <w:r>
        <w:rPr>
          <w:b/>
          <w:bCs/>
        </w:rPr>
        <w:fldChar w:fldCharType="begin"/>
      </w:r>
      <w:r>
        <w:instrText xml:space="preserve"> HYPERLINK \l _Toc5072_WPSOffice_Level1 </w:instrText>
      </w:r>
      <w:r>
        <w:rPr>
          <w:b/>
          <w:bCs/>
        </w:rPr>
        <w:fldChar w:fldCharType="separate"/>
      </w:r>
      <w:r>
        <w:rPr>
          <w:rFonts w:hint="eastAsia"/>
          <w:b/>
          <w:bCs/>
        </w:rPr>
        <w:t>第一部分  部门概况</w:t>
      </w:r>
      <w:r>
        <w:rPr>
          <w:b/>
          <w:bCs/>
        </w:rPr>
        <w:tab/>
      </w:r>
      <w:r>
        <w:rPr>
          <w:rFonts w:hint="eastAsia"/>
          <w:b/>
          <w:bCs/>
          <w:lang w:val="en-US" w:eastAsia="zh-CN"/>
        </w:rPr>
        <w:t>4</w:t>
      </w:r>
      <w:r>
        <w:rPr>
          <w:b/>
          <w:bCs/>
        </w:rPr>
        <w:fldChar w:fldCharType="end"/>
      </w:r>
    </w:p>
    <w:p>
      <w:pPr>
        <w:pStyle w:val="37"/>
        <w:tabs>
          <w:tab w:val="right" w:leader="dot" w:pos="9070"/>
        </w:tabs>
        <w:ind w:left="600"/>
      </w:pPr>
      <w:r>
        <w:fldChar w:fldCharType="begin"/>
      </w:r>
      <w:r>
        <w:instrText xml:space="preserve"> HYPERLINK \l _Toc5311_WPSOffice_Level2 </w:instrText>
      </w:r>
      <w:r>
        <w:fldChar w:fldCharType="separate"/>
      </w:r>
      <w:r>
        <w:rPr>
          <w:rFonts w:hint="eastAsia" w:ascii="Arial" w:hAnsi="Arial"/>
        </w:rPr>
        <w:t>一、部门职责</w:t>
      </w:r>
      <w:r>
        <w:tab/>
      </w:r>
      <w:r>
        <w:rPr>
          <w:rFonts w:hint="eastAsia"/>
          <w:lang w:val="en-US" w:eastAsia="zh-CN"/>
        </w:rPr>
        <w:t>4</w:t>
      </w:r>
      <w:r>
        <w:fldChar w:fldCharType="end"/>
      </w:r>
    </w:p>
    <w:p>
      <w:pPr>
        <w:pStyle w:val="37"/>
        <w:tabs>
          <w:tab w:val="right" w:leader="dot" w:pos="9070"/>
        </w:tabs>
        <w:ind w:left="600"/>
      </w:pPr>
      <w:r>
        <w:fldChar w:fldCharType="begin"/>
      </w:r>
      <w:r>
        <w:instrText xml:space="preserve"> HYPERLINK \l _Toc6207_WPSOffice_Level2 </w:instrText>
      </w:r>
      <w:r>
        <w:fldChar w:fldCharType="separate"/>
      </w:r>
      <w:r>
        <w:rPr>
          <w:rFonts w:hint="eastAsia" w:ascii="Arial" w:hAnsi="Arial"/>
        </w:rPr>
        <w:t>二、机构设置</w:t>
      </w:r>
      <w:r>
        <w:tab/>
      </w:r>
      <w:r>
        <w:rPr>
          <w:rFonts w:hint="eastAsia"/>
          <w:lang w:val="en-US" w:eastAsia="zh-CN"/>
        </w:rPr>
        <w:t>5</w:t>
      </w:r>
      <w:r>
        <w:fldChar w:fldCharType="end"/>
      </w:r>
    </w:p>
    <w:p>
      <w:pPr>
        <w:pStyle w:val="37"/>
        <w:tabs>
          <w:tab w:val="right" w:leader="dot" w:pos="9070"/>
        </w:tabs>
        <w:ind w:left="600"/>
      </w:pPr>
      <w:r>
        <w:fldChar w:fldCharType="begin"/>
      </w:r>
      <w:r>
        <w:instrText xml:space="preserve"> HYPERLINK \l _Toc17671_WPSOffice_Level2 </w:instrText>
      </w:r>
      <w:r>
        <w:fldChar w:fldCharType="separate"/>
      </w:r>
      <w:r>
        <w:rPr>
          <w:rFonts w:hint="eastAsia" w:ascii="Arial" w:hAnsi="Arial"/>
        </w:rPr>
        <w:t>三、部门决算单位和人员构成</w:t>
      </w:r>
      <w:r>
        <w:tab/>
      </w:r>
      <w:r>
        <w:rPr>
          <w:rFonts w:hint="eastAsia"/>
          <w:lang w:val="en-US" w:eastAsia="zh-CN"/>
        </w:rPr>
        <w:t>5</w:t>
      </w:r>
      <w:r>
        <w:fldChar w:fldCharType="end"/>
      </w:r>
    </w:p>
    <w:p>
      <w:pPr>
        <w:pStyle w:val="35"/>
        <w:tabs>
          <w:tab w:val="right" w:leader="dot" w:pos="9070"/>
        </w:tabs>
      </w:pPr>
      <w:r>
        <w:rPr>
          <w:b/>
          <w:bCs/>
        </w:rPr>
        <w:fldChar w:fldCharType="begin"/>
      </w:r>
      <w:r>
        <w:instrText xml:space="preserve"> HYPERLINK \l _Toc31299_WPSOffice_Level1 </w:instrText>
      </w:r>
      <w:r>
        <w:rPr>
          <w:b/>
          <w:bCs/>
        </w:rPr>
        <w:fldChar w:fldCharType="separate"/>
      </w:r>
      <w:r>
        <w:rPr>
          <w:rFonts w:hint="eastAsia"/>
          <w:b/>
          <w:bCs/>
        </w:rPr>
        <w:t>第二部分2021年度部门决算公开报表（详见附表）</w:t>
      </w:r>
      <w:r>
        <w:rPr>
          <w:b/>
          <w:bCs/>
        </w:rPr>
        <w:tab/>
      </w:r>
      <w:r>
        <w:rPr>
          <w:rFonts w:hint="eastAsia"/>
          <w:b/>
          <w:bCs/>
          <w:lang w:val="en-US" w:eastAsia="zh-CN"/>
        </w:rPr>
        <w:t>6</w:t>
      </w:r>
      <w:r>
        <w:rPr>
          <w:b/>
          <w:bCs/>
        </w:rPr>
        <w:fldChar w:fldCharType="end"/>
      </w:r>
    </w:p>
    <w:p>
      <w:pPr>
        <w:pStyle w:val="37"/>
        <w:tabs>
          <w:tab w:val="right" w:leader="dot" w:pos="9070"/>
        </w:tabs>
        <w:ind w:left="600"/>
      </w:pPr>
      <w:r>
        <w:fldChar w:fldCharType="begin"/>
      </w:r>
      <w:r>
        <w:instrText xml:space="preserve"> HYPERLINK \l _Toc17285_WPSOffice_Level2 </w:instrText>
      </w:r>
      <w:r>
        <w:fldChar w:fldCharType="separate"/>
      </w:r>
      <w:r>
        <w:rPr>
          <w:rFonts w:hint="eastAsia" w:ascii="Arial" w:hAnsi="Arial"/>
        </w:rPr>
        <w:t>一、收入支出决算总表（公开01表）</w:t>
      </w:r>
      <w:r>
        <w:tab/>
      </w:r>
      <w:r>
        <w:rPr>
          <w:rFonts w:hint="eastAsia"/>
          <w:lang w:val="en-US" w:eastAsia="zh-CN"/>
        </w:rPr>
        <w:t>6</w:t>
      </w:r>
      <w:r>
        <w:fldChar w:fldCharType="end"/>
      </w:r>
    </w:p>
    <w:p>
      <w:pPr>
        <w:pStyle w:val="37"/>
        <w:tabs>
          <w:tab w:val="right" w:leader="dot" w:pos="9070"/>
        </w:tabs>
        <w:ind w:left="600"/>
      </w:pPr>
      <w:r>
        <w:fldChar w:fldCharType="begin"/>
      </w:r>
      <w:r>
        <w:instrText xml:space="preserve"> HYPERLINK \l _Toc6606_WPSOffice_Level2 </w:instrText>
      </w:r>
      <w:r>
        <w:fldChar w:fldCharType="separate"/>
      </w:r>
      <w:r>
        <w:rPr>
          <w:rFonts w:hint="eastAsia" w:ascii="Arial" w:hAnsi="Arial"/>
        </w:rPr>
        <w:t>二、收入决算表（公开02表）</w:t>
      </w:r>
      <w:r>
        <w:tab/>
      </w:r>
      <w:r>
        <w:rPr>
          <w:rFonts w:hint="eastAsia"/>
          <w:lang w:val="en-US" w:eastAsia="zh-CN"/>
        </w:rPr>
        <w:t>6</w:t>
      </w:r>
      <w:r>
        <w:fldChar w:fldCharType="end"/>
      </w:r>
    </w:p>
    <w:p>
      <w:pPr>
        <w:pStyle w:val="37"/>
        <w:tabs>
          <w:tab w:val="right" w:leader="dot" w:pos="9070"/>
        </w:tabs>
        <w:ind w:left="600"/>
      </w:pPr>
      <w:r>
        <w:fldChar w:fldCharType="begin"/>
      </w:r>
      <w:r>
        <w:instrText xml:space="preserve"> HYPERLINK \l _Toc31229_WPSOffice_Level2 </w:instrText>
      </w:r>
      <w:r>
        <w:fldChar w:fldCharType="separate"/>
      </w:r>
      <w:r>
        <w:rPr>
          <w:rFonts w:hint="eastAsia" w:ascii="Arial" w:hAnsi="Arial"/>
        </w:rPr>
        <w:t>三、支出决算表（公开03表）</w:t>
      </w:r>
      <w:r>
        <w:tab/>
      </w:r>
      <w:r>
        <w:rPr>
          <w:rFonts w:hint="eastAsia"/>
          <w:lang w:val="en-US" w:eastAsia="zh-CN"/>
        </w:rPr>
        <w:t>6</w:t>
      </w:r>
      <w:r>
        <w:fldChar w:fldCharType="end"/>
      </w:r>
    </w:p>
    <w:p>
      <w:pPr>
        <w:pStyle w:val="37"/>
        <w:tabs>
          <w:tab w:val="right" w:leader="dot" w:pos="9070"/>
        </w:tabs>
        <w:ind w:left="600"/>
      </w:pPr>
      <w:r>
        <w:fldChar w:fldCharType="begin"/>
      </w:r>
      <w:r>
        <w:instrText xml:space="preserve"> HYPERLINK \l _Toc1217_WPSOffice_Level2 </w:instrText>
      </w:r>
      <w:r>
        <w:fldChar w:fldCharType="separate"/>
      </w:r>
      <w:r>
        <w:rPr>
          <w:rFonts w:hint="eastAsia" w:ascii="Arial" w:hAnsi="Arial"/>
        </w:rPr>
        <w:t>四、财政拨款收入支出决算总表（公开04表）</w:t>
      </w:r>
      <w:r>
        <w:tab/>
      </w:r>
      <w:r>
        <w:rPr>
          <w:rFonts w:hint="eastAsia"/>
          <w:lang w:val="en-US" w:eastAsia="zh-CN"/>
        </w:rPr>
        <w:t>6</w:t>
      </w:r>
      <w:r>
        <w:fldChar w:fldCharType="end"/>
      </w:r>
    </w:p>
    <w:p>
      <w:pPr>
        <w:pStyle w:val="37"/>
        <w:tabs>
          <w:tab w:val="right" w:leader="dot" w:pos="9070"/>
        </w:tabs>
        <w:ind w:left="600"/>
      </w:pPr>
      <w:r>
        <w:fldChar w:fldCharType="begin"/>
      </w:r>
      <w:r>
        <w:instrText xml:space="preserve"> HYPERLINK \l _Toc9521_WPSOffice_Level2 </w:instrText>
      </w:r>
      <w:r>
        <w:fldChar w:fldCharType="separate"/>
      </w:r>
      <w:r>
        <w:rPr>
          <w:rFonts w:hint="eastAsia" w:ascii="Arial" w:hAnsi="Arial"/>
        </w:rPr>
        <w:t>五、一般公共预算财政拨款支出决算表（公开05表）</w:t>
      </w:r>
      <w:r>
        <w:tab/>
      </w:r>
      <w:r>
        <w:rPr>
          <w:rFonts w:hint="eastAsia"/>
          <w:lang w:val="en-US" w:eastAsia="zh-CN"/>
        </w:rPr>
        <w:t>6</w:t>
      </w:r>
      <w:r>
        <w:fldChar w:fldCharType="end"/>
      </w:r>
    </w:p>
    <w:p>
      <w:pPr>
        <w:pStyle w:val="37"/>
        <w:tabs>
          <w:tab w:val="right" w:leader="dot" w:pos="9070"/>
        </w:tabs>
        <w:ind w:left="600"/>
      </w:pPr>
      <w:r>
        <w:fldChar w:fldCharType="begin"/>
      </w:r>
      <w:r>
        <w:instrText xml:space="preserve"> HYPERLINK \l _Toc31128_WPSOffice_Level2 </w:instrText>
      </w:r>
      <w:r>
        <w:fldChar w:fldCharType="separate"/>
      </w:r>
      <w:r>
        <w:rPr>
          <w:rFonts w:hint="eastAsia" w:ascii="Arial" w:hAnsi="Arial"/>
        </w:rPr>
        <w:t>六、一般公共预算财政拨款基本支出决算表（公开06表）</w:t>
      </w:r>
      <w:r>
        <w:tab/>
      </w:r>
      <w:r>
        <w:rPr>
          <w:rFonts w:hint="eastAsia"/>
          <w:lang w:val="en-US" w:eastAsia="zh-CN"/>
        </w:rPr>
        <w:t>6</w:t>
      </w:r>
      <w:r>
        <w:fldChar w:fldCharType="end"/>
      </w:r>
    </w:p>
    <w:p>
      <w:pPr>
        <w:pStyle w:val="37"/>
        <w:tabs>
          <w:tab w:val="right" w:leader="dot" w:pos="9070"/>
        </w:tabs>
        <w:ind w:left="600"/>
      </w:pPr>
      <w:r>
        <w:fldChar w:fldCharType="begin"/>
      </w:r>
      <w:r>
        <w:instrText xml:space="preserve"> HYPERLINK \l _Toc13164_WPSOffice_Level2 </w:instrText>
      </w:r>
      <w:r>
        <w:fldChar w:fldCharType="separate"/>
      </w:r>
      <w:r>
        <w:rPr>
          <w:rFonts w:hint="eastAsia" w:ascii="Arial" w:hAnsi="Arial"/>
        </w:rPr>
        <w:t>七、一般公共预算财政拨款“三公”经费支出决算表（公开07表）</w:t>
      </w:r>
      <w:r>
        <w:tab/>
      </w:r>
      <w:r>
        <w:rPr>
          <w:rFonts w:hint="eastAsia"/>
          <w:lang w:val="en-US" w:eastAsia="zh-CN"/>
        </w:rPr>
        <w:t>6</w:t>
      </w:r>
      <w:r>
        <w:fldChar w:fldCharType="end"/>
      </w:r>
    </w:p>
    <w:p>
      <w:pPr>
        <w:pStyle w:val="37"/>
        <w:tabs>
          <w:tab w:val="right" w:leader="dot" w:pos="9070"/>
        </w:tabs>
        <w:ind w:left="600"/>
      </w:pPr>
      <w:r>
        <w:fldChar w:fldCharType="begin"/>
      </w:r>
      <w:r>
        <w:instrText xml:space="preserve"> HYPERLINK \l _Toc6219_WPSOffice_Level2 </w:instrText>
      </w:r>
      <w:r>
        <w:fldChar w:fldCharType="separate"/>
      </w:r>
      <w:r>
        <w:rPr>
          <w:rFonts w:hint="eastAsia" w:ascii="Arial" w:hAnsi="Arial"/>
        </w:rPr>
        <w:t>八、政府性基金预算财政拨款收入支出决算表（公开08表）</w:t>
      </w:r>
      <w:r>
        <w:tab/>
      </w:r>
      <w:r>
        <w:rPr>
          <w:rFonts w:hint="eastAsia"/>
          <w:lang w:val="en-US" w:eastAsia="zh-CN"/>
        </w:rPr>
        <w:t>6</w:t>
      </w:r>
      <w:r>
        <w:fldChar w:fldCharType="end"/>
      </w:r>
    </w:p>
    <w:p>
      <w:pPr>
        <w:pStyle w:val="37"/>
        <w:tabs>
          <w:tab w:val="right" w:leader="dot" w:pos="9070"/>
        </w:tabs>
        <w:ind w:left="600"/>
      </w:pPr>
      <w:r>
        <w:fldChar w:fldCharType="begin"/>
      </w:r>
      <w:r>
        <w:instrText xml:space="preserve"> HYPERLINK \l _Toc19532_WPSOffice_Level2 </w:instrText>
      </w:r>
      <w:r>
        <w:fldChar w:fldCharType="separate"/>
      </w:r>
      <w:r>
        <w:rPr>
          <w:rFonts w:hint="eastAsia" w:ascii="Arial" w:hAnsi="Arial"/>
        </w:rPr>
        <w:t>九、国有资本经营预算财政拨款收入支出决算表（公开09表）</w:t>
      </w:r>
      <w:r>
        <w:tab/>
      </w:r>
      <w:r>
        <w:rPr>
          <w:rFonts w:hint="eastAsia"/>
          <w:lang w:val="en-US" w:eastAsia="zh-CN"/>
        </w:rPr>
        <w:t>6</w:t>
      </w:r>
      <w:r>
        <w:fldChar w:fldCharType="end"/>
      </w:r>
    </w:p>
    <w:p>
      <w:pPr>
        <w:pStyle w:val="37"/>
        <w:tabs>
          <w:tab w:val="right" w:leader="dot" w:pos="9070"/>
        </w:tabs>
        <w:ind w:left="600"/>
      </w:pPr>
      <w:r>
        <w:fldChar w:fldCharType="begin"/>
      </w:r>
      <w:r>
        <w:instrText xml:space="preserve"> HYPERLINK \l _Toc31578_WPSOffice_Level2 </w:instrText>
      </w:r>
      <w:r>
        <w:fldChar w:fldCharType="separate"/>
      </w:r>
      <w:r>
        <w:rPr>
          <w:rFonts w:hint="eastAsia" w:ascii="Arial" w:hAnsi="Arial"/>
        </w:rPr>
        <w:t>十、非财政拨款收入支出决算表（公开10表）</w:t>
      </w:r>
      <w:r>
        <w:tab/>
      </w:r>
      <w:r>
        <w:rPr>
          <w:rFonts w:hint="eastAsia"/>
          <w:lang w:val="en-US" w:eastAsia="zh-CN"/>
        </w:rPr>
        <w:t>6</w:t>
      </w:r>
      <w:r>
        <w:fldChar w:fldCharType="end"/>
      </w:r>
    </w:p>
    <w:p>
      <w:pPr>
        <w:pStyle w:val="35"/>
        <w:tabs>
          <w:tab w:val="right" w:leader="dot" w:pos="9070"/>
        </w:tabs>
      </w:pPr>
      <w:r>
        <w:rPr>
          <w:b/>
          <w:bCs/>
        </w:rPr>
        <w:fldChar w:fldCharType="begin"/>
      </w:r>
      <w:r>
        <w:instrText xml:space="preserve"> HYPERLINK \l _Toc29743_WPSOffice_Level1 </w:instrText>
      </w:r>
      <w:r>
        <w:rPr>
          <w:b/>
          <w:bCs/>
        </w:rPr>
        <w:fldChar w:fldCharType="separate"/>
      </w:r>
      <w:r>
        <w:rPr>
          <w:rFonts w:hint="eastAsia"/>
          <w:b/>
          <w:bCs/>
        </w:rPr>
        <w:t>第三部分  2021年度部门决算情况说明</w:t>
      </w:r>
      <w:r>
        <w:rPr>
          <w:b/>
          <w:bCs/>
        </w:rPr>
        <w:tab/>
      </w:r>
      <w:r>
        <w:rPr>
          <w:rFonts w:hint="eastAsia"/>
          <w:b/>
          <w:bCs/>
          <w:lang w:val="en-US" w:eastAsia="zh-CN"/>
        </w:rPr>
        <w:t>7</w:t>
      </w:r>
      <w:r>
        <w:rPr>
          <w:b/>
          <w:bCs/>
        </w:rPr>
        <w:fldChar w:fldCharType="end"/>
      </w:r>
    </w:p>
    <w:p>
      <w:pPr>
        <w:pStyle w:val="37"/>
        <w:tabs>
          <w:tab w:val="right" w:leader="dot" w:pos="9070"/>
        </w:tabs>
        <w:ind w:left="600"/>
      </w:pPr>
      <w:r>
        <w:fldChar w:fldCharType="begin"/>
      </w:r>
      <w:r>
        <w:instrText xml:space="preserve"> HYPERLINK \l _Toc545_WPSOffice_Level2 </w:instrText>
      </w:r>
      <w:r>
        <w:fldChar w:fldCharType="separate"/>
      </w:r>
      <w:r>
        <w:rPr>
          <w:rFonts w:hint="eastAsia" w:ascii="Arial" w:hAnsi="Arial"/>
        </w:rPr>
        <w:t>一、2021年度收入支出决算总体情况说明</w:t>
      </w:r>
      <w:r>
        <w:tab/>
      </w:r>
      <w:r>
        <w:rPr>
          <w:rFonts w:hint="eastAsia"/>
          <w:lang w:val="en-US" w:eastAsia="zh-CN"/>
        </w:rPr>
        <w:t>7</w:t>
      </w:r>
      <w:r>
        <w:fldChar w:fldCharType="end"/>
      </w:r>
    </w:p>
    <w:p>
      <w:pPr>
        <w:pStyle w:val="37"/>
        <w:tabs>
          <w:tab w:val="right" w:leader="dot" w:pos="9070"/>
        </w:tabs>
        <w:ind w:left="600"/>
      </w:pPr>
      <w:r>
        <w:fldChar w:fldCharType="begin"/>
      </w:r>
      <w:r>
        <w:instrText xml:space="preserve"> HYPERLINK \l _Toc4009_WPSOffice_Level2 </w:instrText>
      </w:r>
      <w:r>
        <w:fldChar w:fldCharType="separate"/>
      </w:r>
      <w:r>
        <w:rPr>
          <w:rFonts w:hint="eastAsia" w:ascii="Arial" w:hAnsi="Arial"/>
        </w:rPr>
        <w:t>二、2021年度收入决算情况说明</w:t>
      </w:r>
      <w:r>
        <w:tab/>
      </w:r>
      <w:r>
        <w:rPr>
          <w:rFonts w:hint="eastAsia"/>
          <w:lang w:val="en-US" w:eastAsia="zh-CN"/>
        </w:rPr>
        <w:t>7</w:t>
      </w:r>
      <w:r>
        <w:fldChar w:fldCharType="end"/>
      </w:r>
    </w:p>
    <w:p>
      <w:pPr>
        <w:pStyle w:val="37"/>
        <w:tabs>
          <w:tab w:val="right" w:leader="dot" w:pos="9070"/>
        </w:tabs>
        <w:ind w:left="600"/>
      </w:pPr>
      <w:r>
        <w:fldChar w:fldCharType="begin"/>
      </w:r>
      <w:r>
        <w:instrText xml:space="preserve"> HYPERLINK \l _Toc7910_WPSOffice_Level2 </w:instrText>
      </w:r>
      <w:r>
        <w:fldChar w:fldCharType="separate"/>
      </w:r>
      <w:r>
        <w:rPr>
          <w:rFonts w:hint="eastAsia" w:ascii="Arial" w:hAnsi="Arial"/>
        </w:rPr>
        <w:t>三、2021年度支出决算情况说明</w:t>
      </w:r>
      <w:r>
        <w:tab/>
      </w:r>
      <w:r>
        <w:rPr>
          <w:rFonts w:hint="eastAsia"/>
          <w:lang w:val="en-US" w:eastAsia="zh-CN"/>
        </w:rPr>
        <w:t>7</w:t>
      </w:r>
      <w:r>
        <w:fldChar w:fldCharType="end"/>
      </w:r>
    </w:p>
    <w:p>
      <w:pPr>
        <w:pStyle w:val="37"/>
        <w:tabs>
          <w:tab w:val="right" w:leader="dot" w:pos="9070"/>
        </w:tabs>
        <w:ind w:left="600"/>
      </w:pPr>
      <w:r>
        <w:fldChar w:fldCharType="begin"/>
      </w:r>
      <w:r>
        <w:instrText xml:space="preserve"> HYPERLINK \l _Toc28642_WPSOffice_Level2 </w:instrText>
      </w:r>
      <w:r>
        <w:fldChar w:fldCharType="separate"/>
      </w:r>
      <w:r>
        <w:rPr>
          <w:rFonts w:hint="eastAsia" w:ascii="Arial" w:hAnsi="Arial"/>
        </w:rPr>
        <w:t>四、2021年度财政拨款收入支出决算总体情况说明</w:t>
      </w:r>
      <w:r>
        <w:tab/>
      </w:r>
      <w:r>
        <w:rPr>
          <w:rFonts w:hint="eastAsia"/>
          <w:lang w:val="en-US" w:eastAsia="zh-CN"/>
        </w:rPr>
        <w:t>7</w:t>
      </w:r>
      <w:r>
        <w:fldChar w:fldCharType="end"/>
      </w:r>
    </w:p>
    <w:p>
      <w:pPr>
        <w:pStyle w:val="37"/>
        <w:tabs>
          <w:tab w:val="right" w:leader="dot" w:pos="9070"/>
        </w:tabs>
        <w:ind w:left="600"/>
      </w:pPr>
      <w:r>
        <w:fldChar w:fldCharType="begin"/>
      </w:r>
      <w:r>
        <w:instrText xml:space="preserve"> HYPERLINK \l _Toc20033_WPSOffice_Level2 </w:instrText>
      </w:r>
      <w:r>
        <w:fldChar w:fldCharType="separate"/>
      </w:r>
      <w:r>
        <w:rPr>
          <w:rFonts w:hint="eastAsia" w:ascii="Arial" w:hAnsi="Arial"/>
        </w:rPr>
        <w:t>五、2021年度一般公共预算财政拨款支出决算情况说明</w:t>
      </w:r>
      <w:r>
        <w:tab/>
      </w:r>
      <w:r>
        <w:rPr>
          <w:rFonts w:hint="eastAsia"/>
          <w:lang w:val="en-US" w:eastAsia="zh-CN"/>
        </w:rPr>
        <w:t>8</w:t>
      </w:r>
      <w:r>
        <w:fldChar w:fldCharType="end"/>
      </w:r>
    </w:p>
    <w:p>
      <w:pPr>
        <w:pStyle w:val="37"/>
        <w:tabs>
          <w:tab w:val="right" w:leader="dot" w:pos="9070"/>
        </w:tabs>
        <w:ind w:left="600"/>
      </w:pPr>
      <w:r>
        <w:fldChar w:fldCharType="begin"/>
      </w:r>
      <w:r>
        <w:instrText xml:space="preserve"> HYPERLINK \l _Toc5855_WPSOffice_Level2 </w:instrText>
      </w:r>
      <w:r>
        <w:fldChar w:fldCharType="separate"/>
      </w:r>
      <w:r>
        <w:rPr>
          <w:rFonts w:hint="eastAsia" w:ascii="Arial" w:hAnsi="Arial"/>
        </w:rPr>
        <w:t>六、2021年度一般公共预算财政拨款基本支出决算情况说明</w:t>
      </w:r>
      <w:r>
        <w:tab/>
      </w:r>
      <w:r>
        <w:rPr>
          <w:rFonts w:hint="eastAsia"/>
          <w:lang w:val="en-US" w:eastAsia="zh-CN"/>
        </w:rPr>
        <w:t>9</w:t>
      </w:r>
      <w:r>
        <w:fldChar w:fldCharType="end"/>
      </w:r>
    </w:p>
    <w:p>
      <w:pPr>
        <w:pStyle w:val="37"/>
        <w:tabs>
          <w:tab w:val="right" w:leader="dot" w:pos="9070"/>
        </w:tabs>
        <w:ind w:left="600"/>
      </w:pPr>
      <w:r>
        <w:fldChar w:fldCharType="begin"/>
      </w:r>
      <w:r>
        <w:instrText xml:space="preserve"> HYPERLINK \l _Toc19143_WPSOffice_Level2 </w:instrText>
      </w:r>
      <w:r>
        <w:fldChar w:fldCharType="separate"/>
      </w:r>
      <w:r>
        <w:rPr>
          <w:rFonts w:hint="eastAsia" w:ascii="Arial" w:hAnsi="Arial"/>
        </w:rPr>
        <w:t>七、2021年度一般公共预算财政拨款“三公”经费支出决算情况说明</w:t>
      </w:r>
      <w:r>
        <w:tab/>
      </w:r>
      <w:r>
        <w:rPr>
          <w:rFonts w:hint="eastAsia"/>
          <w:lang w:val="en-US" w:eastAsia="zh-CN"/>
        </w:rPr>
        <w:t>9</w:t>
      </w:r>
      <w:r>
        <w:fldChar w:fldCharType="end"/>
      </w:r>
    </w:p>
    <w:p>
      <w:pPr>
        <w:pStyle w:val="37"/>
        <w:tabs>
          <w:tab w:val="right" w:leader="dot" w:pos="9070"/>
        </w:tabs>
        <w:ind w:left="600"/>
        <w:rPr>
          <w:rFonts w:hint="eastAsia" w:eastAsia="黑体"/>
          <w:lang w:val="en-US" w:eastAsia="zh-CN"/>
        </w:rPr>
      </w:pPr>
      <w:r>
        <w:fldChar w:fldCharType="begin"/>
      </w:r>
      <w:r>
        <w:instrText xml:space="preserve"> HYPERLINK \l _Toc6901_WPSOffice_Level2 </w:instrText>
      </w:r>
      <w:r>
        <w:fldChar w:fldCharType="separate"/>
      </w:r>
      <w:r>
        <w:rPr>
          <w:rFonts w:hint="eastAsia" w:ascii="Arial" w:hAnsi="Arial"/>
        </w:rPr>
        <w:t>八、2021年度政府性基金预算财政拨款收入支出决算情况说明</w:t>
      </w:r>
      <w:r>
        <w:tab/>
      </w:r>
      <w:r>
        <w:rPr>
          <w:rFonts w:hint="eastAsia"/>
          <w:lang w:val="en-US" w:eastAsia="zh-CN"/>
        </w:rPr>
        <w:t>1</w:t>
      </w:r>
      <w:r>
        <w:fldChar w:fldCharType="end"/>
      </w:r>
      <w:r>
        <w:rPr>
          <w:rFonts w:hint="eastAsia"/>
          <w:lang w:val="en-US" w:eastAsia="zh-CN"/>
        </w:rPr>
        <w:t>1</w:t>
      </w:r>
    </w:p>
    <w:p>
      <w:pPr>
        <w:pStyle w:val="37"/>
        <w:tabs>
          <w:tab w:val="right" w:leader="dot" w:pos="9070"/>
        </w:tabs>
        <w:ind w:left="600"/>
        <w:rPr>
          <w:rFonts w:hint="eastAsia" w:eastAsia="黑体"/>
          <w:lang w:val="en-US" w:eastAsia="zh-CN"/>
        </w:rPr>
      </w:pPr>
      <w:r>
        <w:fldChar w:fldCharType="begin"/>
      </w:r>
      <w:r>
        <w:instrText xml:space="preserve"> HYPERLINK \l _Toc26410_WPSOffice_Level2 </w:instrText>
      </w:r>
      <w:r>
        <w:fldChar w:fldCharType="separate"/>
      </w:r>
      <w:r>
        <w:rPr>
          <w:rFonts w:hint="eastAsia" w:ascii="Arial" w:hAnsi="Arial"/>
        </w:rPr>
        <w:t>九、2021年度国有资本经营预算财政拨款收入支出决算情况说明</w:t>
      </w:r>
      <w:r>
        <w:tab/>
      </w:r>
      <w:r>
        <w:rPr>
          <w:rFonts w:hint="eastAsia"/>
          <w:lang w:val="en-US" w:eastAsia="zh-CN"/>
        </w:rPr>
        <w:t>1</w:t>
      </w:r>
      <w:r>
        <w:fldChar w:fldCharType="end"/>
      </w:r>
      <w:r>
        <w:rPr>
          <w:rFonts w:hint="eastAsia"/>
          <w:lang w:val="en-US" w:eastAsia="zh-CN"/>
        </w:rPr>
        <w:t>1</w:t>
      </w:r>
    </w:p>
    <w:p>
      <w:pPr>
        <w:pStyle w:val="37"/>
        <w:tabs>
          <w:tab w:val="right" w:leader="dot" w:pos="9070"/>
        </w:tabs>
        <w:ind w:left="600"/>
        <w:rPr>
          <w:rFonts w:hint="eastAsia" w:eastAsia="黑体"/>
          <w:lang w:val="en-US" w:eastAsia="zh-CN"/>
        </w:rPr>
      </w:pPr>
      <w:r>
        <w:fldChar w:fldCharType="begin"/>
      </w:r>
      <w:r>
        <w:instrText xml:space="preserve"> HYPERLINK \l _Toc2812_WPSOffice_Level2 </w:instrText>
      </w:r>
      <w:r>
        <w:fldChar w:fldCharType="separate"/>
      </w:r>
      <w:r>
        <w:rPr>
          <w:rFonts w:hint="eastAsia" w:ascii="Arial" w:hAnsi="Arial"/>
        </w:rPr>
        <w:t>十、2021年度非财政拨款收支决算情况说明</w:t>
      </w:r>
      <w:r>
        <w:tab/>
      </w:r>
      <w:r>
        <w:rPr>
          <w:rFonts w:hint="eastAsia"/>
          <w:lang w:val="en-US" w:eastAsia="zh-CN"/>
        </w:rPr>
        <w:t>1</w:t>
      </w:r>
      <w:r>
        <w:fldChar w:fldCharType="end"/>
      </w:r>
      <w:r>
        <w:rPr>
          <w:rFonts w:hint="eastAsia"/>
          <w:lang w:val="en-US" w:eastAsia="zh-CN"/>
        </w:rPr>
        <w:t>1</w:t>
      </w:r>
    </w:p>
    <w:p>
      <w:pPr>
        <w:pStyle w:val="37"/>
        <w:tabs>
          <w:tab w:val="right" w:leader="dot" w:pos="9070"/>
        </w:tabs>
        <w:ind w:left="600"/>
        <w:rPr>
          <w:rFonts w:hint="eastAsia" w:eastAsia="黑体"/>
          <w:lang w:val="en-US" w:eastAsia="zh-CN"/>
        </w:rPr>
      </w:pPr>
      <w:r>
        <w:fldChar w:fldCharType="begin"/>
      </w:r>
      <w:r>
        <w:instrText xml:space="preserve"> HYPERLINK \l _Toc2596_WPSOffice_Level2 </w:instrText>
      </w:r>
      <w:r>
        <w:fldChar w:fldCharType="separate"/>
      </w:r>
      <w:r>
        <w:rPr>
          <w:rFonts w:hint="eastAsia" w:ascii="Arial" w:hAnsi="Arial"/>
        </w:rPr>
        <w:t>十一、2021年度机关运行经费支出情况说明</w:t>
      </w:r>
      <w:r>
        <w:tab/>
      </w:r>
      <w:r>
        <w:rPr>
          <w:rFonts w:hint="eastAsia"/>
          <w:lang w:val="en-US" w:eastAsia="zh-CN"/>
        </w:rPr>
        <w:t>1</w:t>
      </w:r>
      <w:r>
        <w:fldChar w:fldCharType="end"/>
      </w:r>
      <w:r>
        <w:rPr>
          <w:rFonts w:hint="eastAsia"/>
          <w:lang w:val="en-US" w:eastAsia="zh-CN"/>
        </w:rPr>
        <w:t>1</w:t>
      </w:r>
    </w:p>
    <w:p>
      <w:pPr>
        <w:pStyle w:val="37"/>
        <w:tabs>
          <w:tab w:val="right" w:leader="dot" w:pos="9070"/>
        </w:tabs>
        <w:ind w:left="600"/>
        <w:rPr>
          <w:rFonts w:hint="eastAsia" w:eastAsia="黑体"/>
          <w:lang w:val="en-US" w:eastAsia="zh-CN"/>
        </w:rPr>
      </w:pPr>
      <w:r>
        <w:fldChar w:fldCharType="begin"/>
      </w:r>
      <w:r>
        <w:instrText xml:space="preserve"> HYPERLINK \l _Toc256_WPSOffice_Level2 </w:instrText>
      </w:r>
      <w:r>
        <w:fldChar w:fldCharType="separate"/>
      </w:r>
      <w:r>
        <w:rPr>
          <w:rFonts w:hint="eastAsia" w:ascii="Arial" w:hAnsi="Arial"/>
        </w:rPr>
        <w:t>十二、2021年度政府采购支出情况说明</w:t>
      </w:r>
      <w:r>
        <w:tab/>
      </w:r>
      <w:r>
        <w:rPr>
          <w:rFonts w:hint="eastAsia"/>
          <w:lang w:val="en-US" w:eastAsia="zh-CN"/>
        </w:rPr>
        <w:t>1</w:t>
      </w:r>
      <w:r>
        <w:fldChar w:fldCharType="end"/>
      </w:r>
      <w:r>
        <w:rPr>
          <w:rFonts w:hint="eastAsia"/>
          <w:lang w:val="en-US" w:eastAsia="zh-CN"/>
        </w:rPr>
        <w:t>1</w:t>
      </w:r>
    </w:p>
    <w:p>
      <w:pPr>
        <w:pStyle w:val="37"/>
        <w:tabs>
          <w:tab w:val="right" w:leader="dot" w:pos="9070"/>
        </w:tabs>
        <w:ind w:left="600"/>
        <w:rPr>
          <w:rFonts w:hint="eastAsia" w:eastAsia="黑体"/>
          <w:lang w:val="en-US" w:eastAsia="zh-CN"/>
        </w:rPr>
      </w:pPr>
      <w:r>
        <w:fldChar w:fldCharType="begin"/>
      </w:r>
      <w:r>
        <w:instrText xml:space="preserve"> HYPERLINK \l _Toc25317_WPSOffice_Level2 </w:instrText>
      </w:r>
      <w:r>
        <w:fldChar w:fldCharType="separate"/>
      </w:r>
      <w:r>
        <w:rPr>
          <w:rFonts w:hint="eastAsia" w:ascii="Arial" w:hAnsi="Arial"/>
        </w:rPr>
        <w:t>十三、2021年度国有资产占用情况说明</w:t>
      </w:r>
      <w:r>
        <w:tab/>
      </w:r>
      <w:r>
        <w:rPr>
          <w:rFonts w:hint="eastAsia"/>
          <w:lang w:val="en-US" w:eastAsia="zh-CN"/>
        </w:rPr>
        <w:t>1</w:t>
      </w:r>
      <w:r>
        <w:fldChar w:fldCharType="end"/>
      </w:r>
      <w:r>
        <w:rPr>
          <w:rFonts w:hint="eastAsia"/>
          <w:lang w:val="en-US" w:eastAsia="zh-CN"/>
        </w:rPr>
        <w:t>2</w:t>
      </w:r>
    </w:p>
    <w:p>
      <w:pPr>
        <w:pStyle w:val="37"/>
        <w:tabs>
          <w:tab w:val="right" w:leader="dot" w:pos="9070"/>
        </w:tabs>
        <w:ind w:left="600"/>
        <w:rPr>
          <w:rFonts w:hint="eastAsia" w:eastAsia="黑体"/>
          <w:lang w:val="en-US" w:eastAsia="zh-CN"/>
        </w:rPr>
      </w:pPr>
      <w:r>
        <w:fldChar w:fldCharType="begin"/>
      </w:r>
      <w:r>
        <w:instrText xml:space="preserve"> HYPERLINK \l _Toc16248_WPSOffice_Level2 </w:instrText>
      </w:r>
      <w:r>
        <w:fldChar w:fldCharType="separate"/>
      </w:r>
      <w:r>
        <w:rPr>
          <w:rFonts w:hint="eastAsia" w:ascii="Arial" w:hAnsi="Arial"/>
        </w:rPr>
        <w:t>十四、预算绩效情况说明</w:t>
      </w:r>
      <w:r>
        <w:tab/>
      </w:r>
      <w:r>
        <w:rPr>
          <w:rFonts w:hint="eastAsia"/>
          <w:lang w:val="en-US" w:eastAsia="zh-CN"/>
        </w:rPr>
        <w:t>1</w:t>
      </w:r>
      <w:r>
        <w:fldChar w:fldCharType="end"/>
      </w:r>
      <w:r>
        <w:rPr>
          <w:rFonts w:hint="eastAsia"/>
          <w:lang w:val="en-US" w:eastAsia="zh-CN"/>
        </w:rPr>
        <w:t>2</w:t>
      </w:r>
    </w:p>
    <w:p>
      <w:pPr>
        <w:pStyle w:val="35"/>
        <w:tabs>
          <w:tab w:val="right" w:leader="dot" w:pos="9070"/>
        </w:tabs>
        <w:rPr>
          <w:rFonts w:hint="eastAsia" w:eastAsia="黑体"/>
          <w:lang w:val="en-US" w:eastAsia="zh-CN"/>
        </w:rPr>
      </w:pPr>
      <w:r>
        <w:rPr>
          <w:b/>
          <w:bCs/>
        </w:rPr>
        <w:fldChar w:fldCharType="begin"/>
      </w:r>
      <w:r>
        <w:instrText xml:space="preserve"> HYPERLINK \l _Toc25063_WPSOffice_Level1 </w:instrText>
      </w:r>
      <w:r>
        <w:rPr>
          <w:b/>
          <w:bCs/>
        </w:rPr>
        <w:fldChar w:fldCharType="separate"/>
      </w:r>
      <w:r>
        <w:rPr>
          <w:rFonts w:hint="eastAsia"/>
          <w:b/>
          <w:bCs/>
        </w:rPr>
        <w:t>第四部分 名词解释</w:t>
      </w:r>
      <w:r>
        <w:rPr>
          <w:b/>
          <w:bCs/>
        </w:rPr>
        <w:tab/>
      </w:r>
      <w:r>
        <w:rPr>
          <w:rFonts w:hint="eastAsia"/>
          <w:b/>
          <w:bCs/>
          <w:lang w:val="en-US" w:eastAsia="zh-CN"/>
        </w:rPr>
        <w:t>1</w:t>
      </w:r>
      <w:r>
        <w:rPr>
          <w:b/>
          <w:bCs/>
        </w:rPr>
        <w:fldChar w:fldCharType="end"/>
      </w:r>
      <w:bookmarkEnd w:id="3"/>
      <w:r>
        <w:rPr>
          <w:rFonts w:hint="eastAsia"/>
          <w:b/>
          <w:bCs/>
          <w:lang w:val="en-US" w:eastAsia="zh-CN"/>
        </w:rPr>
        <w:t>3</w:t>
      </w:r>
    </w:p>
    <w:p>
      <w:pPr>
        <w:spacing w:line="300" w:lineRule="auto"/>
        <w:rPr>
          <w:rFonts w:hint="eastAsia" w:ascii="黑体" w:eastAsia="黑体"/>
          <w:b/>
          <w:sz w:val="28"/>
          <w:szCs w:val="28"/>
        </w:rPr>
      </w:pPr>
    </w:p>
    <w:p>
      <w:pPr>
        <w:spacing w:line="300" w:lineRule="auto"/>
        <w:rPr>
          <w:rFonts w:hint="eastAsia" w:ascii="黑体" w:eastAsia="黑体"/>
          <w:b/>
          <w:sz w:val="28"/>
          <w:szCs w:val="28"/>
        </w:rPr>
      </w:pPr>
    </w:p>
    <w:p>
      <w:pPr>
        <w:pStyle w:val="2"/>
        <w:spacing w:before="156" w:after="156"/>
        <w:ind w:left="0" w:leftChars="0" w:right="300"/>
        <w:rPr>
          <w:rFonts w:hint="eastAsia"/>
        </w:rPr>
      </w:pPr>
      <w:bookmarkStart w:id="4" w:name="_Toc7881_WPSOffice_Level1"/>
      <w:bookmarkStart w:id="5" w:name="_Toc23881"/>
      <w:bookmarkStart w:id="6" w:name="_Toc26225_WPSOffice_Level1"/>
      <w:bookmarkStart w:id="7" w:name="_Toc3502"/>
      <w:bookmarkStart w:id="8" w:name="_Toc26558_WPSOffice_Level1"/>
      <w:bookmarkStart w:id="9" w:name="_Toc5072_WPSOffice_Level1"/>
    </w:p>
    <w:p>
      <w:pPr>
        <w:pStyle w:val="2"/>
        <w:spacing w:before="156" w:after="156"/>
        <w:ind w:left="0" w:leftChars="0" w:right="300"/>
        <w:rPr>
          <w:rFonts w:hint="eastAsia"/>
        </w:rPr>
      </w:pPr>
    </w:p>
    <w:p>
      <w:pPr>
        <w:pStyle w:val="2"/>
        <w:spacing w:before="156" w:after="156"/>
        <w:ind w:left="0" w:leftChars="0" w:right="300"/>
        <w:rPr>
          <w:rFonts w:hint="eastAsia"/>
        </w:rPr>
      </w:pPr>
    </w:p>
    <w:p>
      <w:pPr>
        <w:pStyle w:val="2"/>
        <w:spacing w:before="156" w:after="156"/>
        <w:ind w:left="0" w:leftChars="0" w:right="300"/>
        <w:rPr>
          <w:rFonts w:hint="eastAsia"/>
        </w:rPr>
      </w:pPr>
    </w:p>
    <w:p>
      <w:pPr>
        <w:pStyle w:val="2"/>
        <w:spacing w:before="156" w:after="156"/>
        <w:ind w:left="0" w:leftChars="0" w:right="300"/>
        <w:rPr>
          <w:rFonts w:hint="eastAsia"/>
        </w:rPr>
      </w:pPr>
    </w:p>
    <w:p>
      <w:pPr>
        <w:pStyle w:val="2"/>
        <w:spacing w:before="156" w:after="156"/>
        <w:ind w:left="0" w:leftChars="0" w:right="300"/>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spacing w:before="156" w:after="156"/>
        <w:ind w:left="0" w:leftChars="0" w:right="300"/>
        <w:jc w:val="center"/>
        <w:rPr>
          <w:sz w:val="36"/>
          <w:szCs w:val="36"/>
        </w:rPr>
      </w:pPr>
      <w:r>
        <w:rPr>
          <w:rFonts w:hint="eastAsia"/>
          <w:sz w:val="36"/>
          <w:szCs w:val="36"/>
        </w:rPr>
        <w:t>第一部分  部门概况</w:t>
      </w:r>
      <w:bookmarkEnd w:id="4"/>
      <w:bookmarkEnd w:id="5"/>
      <w:bookmarkEnd w:id="6"/>
      <w:bookmarkEnd w:id="7"/>
      <w:bookmarkEnd w:id="8"/>
      <w:bookmarkEnd w:id="9"/>
    </w:p>
    <w:p>
      <w:pPr>
        <w:pStyle w:val="3"/>
        <w:spacing w:before="156" w:after="156"/>
        <w:rPr>
          <w:rFonts w:hint="eastAsia"/>
        </w:rPr>
      </w:pPr>
      <w:bookmarkStart w:id="10" w:name="_Toc25936"/>
      <w:bookmarkStart w:id="11" w:name="_Toc5311_WPSOffice_Level2"/>
      <w:bookmarkStart w:id="12" w:name="_Toc2363_WPSOffice_Level2"/>
      <w:bookmarkStart w:id="13" w:name="_Toc26194_WPSOffice_Level2"/>
      <w:bookmarkStart w:id="14" w:name="_Toc29717_WPSOffice_Level2"/>
      <w:bookmarkStart w:id="15" w:name="_Toc12327"/>
    </w:p>
    <w:p>
      <w:pPr>
        <w:pStyle w:val="3"/>
        <w:spacing w:before="156" w:after="156"/>
        <w:rPr>
          <w:rFonts w:hint="eastAsia"/>
        </w:rPr>
      </w:pPr>
      <w:r>
        <w:rPr>
          <w:rFonts w:hint="eastAsia"/>
        </w:rPr>
        <w:t>一、部门职责</w:t>
      </w:r>
      <w:bookmarkEnd w:id="10"/>
      <w:bookmarkEnd w:id="11"/>
    </w:p>
    <w:bookmarkEnd w:id="12"/>
    <w:bookmarkEnd w:id="13"/>
    <w:bookmarkEnd w:id="14"/>
    <w:bookmarkEnd w:id="15"/>
    <w:p>
      <w:pPr>
        <w:autoSpaceDE w:val="0"/>
        <w:autoSpaceDN w:val="0"/>
        <w:adjustRightInd w:val="0"/>
        <w:ind w:firstLine="602" w:firstLineChars="200"/>
        <w:rPr>
          <w:rFonts w:hint="eastAsia" w:ascii="仿宋_GB2312" w:eastAsia="仿宋_GB2312"/>
          <w:sz w:val="30"/>
          <w:szCs w:val="30"/>
        </w:rPr>
      </w:pPr>
      <w:bookmarkStart w:id="16" w:name="_Toc31956_WPSOffice_Level2"/>
      <w:bookmarkStart w:id="17" w:name="_Toc19853"/>
      <w:bookmarkStart w:id="18" w:name="_Toc8059_WPSOffice_Level2"/>
      <w:bookmarkStart w:id="19" w:name="_Toc6207_WPSOffice_Level2"/>
      <w:bookmarkStart w:id="20" w:name="_Toc29011_WPSOffice_Level2"/>
      <w:bookmarkStart w:id="21" w:name="_Toc24605"/>
      <w:r>
        <w:rPr>
          <w:rFonts w:hint="eastAsia" w:ascii="仿宋_GB2312" w:eastAsia="仿宋_GB2312"/>
          <w:b/>
          <w:sz w:val="30"/>
          <w:szCs w:val="30"/>
        </w:rPr>
        <w:t>（一）</w:t>
      </w:r>
      <w:r>
        <w:rPr>
          <w:rFonts w:hint="eastAsia" w:ascii="仿宋_GB2312" w:eastAsia="仿宋_GB2312"/>
          <w:sz w:val="30"/>
          <w:szCs w:val="30"/>
        </w:rPr>
        <w:t>遵义日报社是财政差额补助事业单位。根据贵州省新闻出版局黔新出报刊【2002】9号文《关于遵义日报、遵义晚报合并重组的批复》，遵义日报社和遵义晚报社合并重新组建遵义日报社，对外加挂遵义日报社牌子，实行“一社两报”体制。</w:t>
      </w:r>
    </w:p>
    <w:p>
      <w:pPr>
        <w:autoSpaceDE w:val="0"/>
        <w:autoSpaceDN w:val="0"/>
        <w:adjustRightInd w:val="0"/>
        <w:ind w:firstLine="602" w:firstLineChars="200"/>
        <w:rPr>
          <w:rFonts w:hint="eastAsia" w:ascii="仿宋_GB2312" w:eastAsia="仿宋_GB2312"/>
          <w:sz w:val="30"/>
          <w:szCs w:val="30"/>
        </w:rPr>
      </w:pPr>
      <w:r>
        <w:rPr>
          <w:rFonts w:hint="eastAsia" w:ascii="仿宋_GB2312" w:eastAsia="仿宋_GB2312"/>
          <w:b/>
          <w:sz w:val="30"/>
          <w:szCs w:val="30"/>
        </w:rPr>
        <w:t>（二）</w:t>
      </w:r>
      <w:r>
        <w:rPr>
          <w:rFonts w:hint="eastAsia" w:ascii="仿宋_GB2312" w:eastAsia="仿宋_GB2312"/>
          <w:sz w:val="30"/>
          <w:szCs w:val="30"/>
        </w:rPr>
        <w:t>遵义日报社负责中共遵义市委机关报《遵义日报》的编辑出版，主管主办《遵义日报》、《遵义晚报》，主管《遵义杂志》，主办《遵义在线网》，编辑发布《遵义手机报》。</w:t>
      </w:r>
    </w:p>
    <w:p>
      <w:pPr>
        <w:autoSpaceDE w:val="0"/>
        <w:autoSpaceDN w:val="0"/>
        <w:adjustRightInd w:val="0"/>
        <w:ind w:firstLine="602" w:firstLineChars="200"/>
        <w:rPr>
          <w:rFonts w:hint="eastAsia" w:ascii="仿宋_GB2312" w:eastAsia="仿宋_GB2312"/>
          <w:sz w:val="30"/>
          <w:szCs w:val="30"/>
        </w:rPr>
      </w:pPr>
      <w:r>
        <w:rPr>
          <w:rFonts w:hint="eastAsia" w:ascii="仿宋_GB2312" w:eastAsia="仿宋_GB2312"/>
          <w:b/>
          <w:sz w:val="30"/>
          <w:szCs w:val="30"/>
        </w:rPr>
        <w:t>（三）</w:t>
      </w:r>
      <w:r>
        <w:rPr>
          <w:rFonts w:hint="eastAsia" w:ascii="仿宋_GB2312" w:eastAsia="仿宋_GB2312"/>
          <w:sz w:val="30"/>
          <w:szCs w:val="30"/>
        </w:rPr>
        <w:t>贯彻执行党和国家关于新闻舆论宣传的各项方针、政策，遵守党的新闻宣传纪律和各个时期的宣传口径，确保舆论导向的正确性。传达宣传市委、市政府的重大工作部署和要求，围绕全市的工作中心和重点，开展全方位、多层次的新闻宣传，发挥党、政府和人民的喉舌功能。</w:t>
      </w:r>
    </w:p>
    <w:p>
      <w:pPr>
        <w:autoSpaceDE w:val="0"/>
        <w:autoSpaceDN w:val="0"/>
        <w:adjustRightInd w:val="0"/>
        <w:ind w:firstLine="602" w:firstLineChars="200"/>
        <w:rPr>
          <w:rFonts w:hint="eastAsia" w:ascii="仿宋_GB2312" w:eastAsia="仿宋_GB2312"/>
          <w:sz w:val="30"/>
          <w:szCs w:val="30"/>
        </w:rPr>
      </w:pPr>
      <w:r>
        <w:rPr>
          <w:rFonts w:hint="eastAsia" w:ascii="仿宋_GB2312" w:eastAsia="仿宋_GB2312"/>
          <w:b/>
          <w:sz w:val="30"/>
          <w:szCs w:val="30"/>
        </w:rPr>
        <w:t>（</w:t>
      </w:r>
      <w:r>
        <w:rPr>
          <w:rFonts w:hint="eastAsia" w:ascii="仿宋_GB2312"/>
          <w:b/>
          <w:sz w:val="30"/>
          <w:szCs w:val="30"/>
          <w:lang w:eastAsia="zh-CN"/>
        </w:rPr>
        <w:t>四</w:t>
      </w:r>
      <w:r>
        <w:rPr>
          <w:rFonts w:hint="eastAsia" w:ascii="仿宋_GB2312" w:eastAsia="仿宋_GB2312"/>
          <w:b/>
          <w:sz w:val="30"/>
          <w:szCs w:val="30"/>
        </w:rPr>
        <w:t>）</w:t>
      </w:r>
      <w:r>
        <w:rPr>
          <w:rFonts w:hint="eastAsia" w:ascii="仿宋_GB2312" w:eastAsia="仿宋_GB2312"/>
          <w:sz w:val="30"/>
          <w:szCs w:val="30"/>
        </w:rPr>
        <w:t>弘扬社会主义道德风尚，宣传各行各业在经济建设、政治建设、文化建设、社会建设中涌现出的新人、新事、新经验，反映人民群众的呼声、意见和建议，加强新闻舆论监督，鞭挞社会生活中的消极腐败现象。</w:t>
      </w:r>
    </w:p>
    <w:p>
      <w:pPr>
        <w:autoSpaceDE w:val="0"/>
        <w:autoSpaceDN w:val="0"/>
        <w:adjustRightInd w:val="0"/>
        <w:ind w:firstLine="602" w:firstLineChars="200"/>
        <w:rPr>
          <w:rFonts w:hint="eastAsia" w:ascii="仿宋_GB2312" w:eastAsia="仿宋_GB2312"/>
          <w:sz w:val="30"/>
          <w:szCs w:val="30"/>
        </w:rPr>
      </w:pPr>
      <w:r>
        <w:rPr>
          <w:rFonts w:hint="eastAsia" w:ascii="仿宋_GB2312" w:eastAsia="仿宋_GB2312"/>
          <w:b/>
          <w:sz w:val="30"/>
          <w:szCs w:val="30"/>
        </w:rPr>
        <w:t>（</w:t>
      </w:r>
      <w:r>
        <w:rPr>
          <w:rFonts w:hint="eastAsia" w:ascii="仿宋_GB2312"/>
          <w:b/>
          <w:sz w:val="30"/>
          <w:szCs w:val="30"/>
          <w:lang w:eastAsia="zh-CN"/>
        </w:rPr>
        <w:t>五</w:t>
      </w:r>
      <w:r>
        <w:rPr>
          <w:rFonts w:hint="eastAsia" w:ascii="仿宋_GB2312" w:eastAsia="仿宋_GB2312"/>
          <w:b/>
          <w:sz w:val="30"/>
          <w:szCs w:val="30"/>
        </w:rPr>
        <w:t>）</w:t>
      </w:r>
      <w:r>
        <w:rPr>
          <w:rFonts w:hint="eastAsia" w:ascii="仿宋_GB2312" w:eastAsia="仿宋_GB2312"/>
          <w:sz w:val="30"/>
          <w:szCs w:val="30"/>
        </w:rPr>
        <w:t>按照市场经济的要求，发挥报纸的广告宣传功能，开拓以广告为主的报业经营，拓展多元化经营渠道。搞好《遵义日报》、《遵义晚报》、《遵义日报》的发行工作，为广大读者提供良好服务。加强多媒体建设，加快向多媒体新闻信息业态拓展。</w:t>
      </w:r>
    </w:p>
    <w:p>
      <w:pPr>
        <w:ind w:firstLine="602" w:firstLineChars="200"/>
        <w:rPr>
          <w:rFonts w:hint="eastAsia"/>
        </w:rPr>
      </w:pPr>
      <w:r>
        <w:rPr>
          <w:rFonts w:hint="eastAsia" w:ascii="仿宋_GB2312" w:eastAsia="仿宋_GB2312"/>
          <w:b/>
          <w:sz w:val="30"/>
          <w:szCs w:val="30"/>
        </w:rPr>
        <w:t>（</w:t>
      </w:r>
      <w:r>
        <w:rPr>
          <w:rFonts w:hint="eastAsia" w:ascii="仿宋_GB2312"/>
          <w:b/>
          <w:sz w:val="30"/>
          <w:szCs w:val="30"/>
          <w:lang w:eastAsia="zh-CN"/>
        </w:rPr>
        <w:t>六</w:t>
      </w:r>
      <w:r>
        <w:rPr>
          <w:rFonts w:hint="eastAsia" w:ascii="仿宋_GB2312" w:eastAsia="仿宋_GB2312"/>
          <w:b/>
          <w:sz w:val="30"/>
          <w:szCs w:val="30"/>
        </w:rPr>
        <w:t>）</w:t>
      </w:r>
      <w:r>
        <w:rPr>
          <w:rFonts w:hint="eastAsia" w:ascii="仿宋_GB2312" w:eastAsia="仿宋_GB2312"/>
          <w:sz w:val="30"/>
          <w:szCs w:val="30"/>
        </w:rPr>
        <w:t>承办市委、市政府交办的其他事项。</w:t>
      </w:r>
    </w:p>
    <w:p>
      <w:pPr>
        <w:pStyle w:val="3"/>
        <w:spacing w:before="156" w:after="156"/>
        <w:rPr>
          <w:rFonts w:hint="eastAsia"/>
        </w:rPr>
      </w:pPr>
      <w:r>
        <w:rPr>
          <w:rFonts w:hint="eastAsia"/>
        </w:rPr>
        <w:t>二、机构设置</w:t>
      </w:r>
      <w:bookmarkEnd w:id="16"/>
      <w:bookmarkEnd w:id="17"/>
      <w:bookmarkEnd w:id="18"/>
      <w:bookmarkEnd w:id="19"/>
      <w:bookmarkEnd w:id="20"/>
      <w:bookmarkEnd w:id="21"/>
    </w:p>
    <w:p>
      <w:pPr>
        <w:pStyle w:val="38"/>
        <w:ind w:firstLine="600" w:firstLineChars="200"/>
        <w:rPr>
          <w:rFonts w:hint="eastAsia" w:ascii="仿宋_GB2312" w:eastAsia="仿宋_GB2312"/>
          <w:sz w:val="30"/>
          <w:szCs w:val="30"/>
        </w:rPr>
      </w:pPr>
      <w:bookmarkStart w:id="22" w:name="_Toc2971"/>
      <w:bookmarkStart w:id="23" w:name="_Toc24133_WPSOffice_Level2"/>
      <w:bookmarkStart w:id="24" w:name="_Toc17671_WPSOffice_Level2"/>
      <w:bookmarkStart w:id="25" w:name="_Toc6282_WPSOffice_Level2"/>
      <w:bookmarkStart w:id="26" w:name="_Toc290_WPSOffice_Level2"/>
      <w:bookmarkStart w:id="27" w:name="_Toc23162"/>
      <w:r>
        <w:rPr>
          <w:rFonts w:hint="eastAsia" w:ascii="仿宋_GB2312" w:eastAsia="仿宋_GB2312"/>
          <w:sz w:val="30"/>
          <w:szCs w:val="30"/>
        </w:rPr>
        <w:t>本单位内设机构</w:t>
      </w:r>
      <w:r>
        <w:rPr>
          <w:rFonts w:ascii="仿宋_GB2312" w:eastAsia="仿宋_GB2312"/>
          <w:sz w:val="30"/>
          <w:szCs w:val="30"/>
        </w:rPr>
        <w:t>19</w:t>
      </w:r>
      <w:r>
        <w:rPr>
          <w:rFonts w:hint="eastAsia" w:ascii="仿宋_GB2312" w:eastAsia="仿宋_GB2312"/>
          <w:sz w:val="30"/>
          <w:szCs w:val="30"/>
        </w:rPr>
        <w:t>个，具体是：办公室、财务结算部、人事部、物业管理部、发行部、新闻信息部、《遵义晚报》文体部、《遵义日报》总编室、《遵义日报》新闻部、《遵义日报》专刊部、《遵义日报》新闻评论部、《遵义晚报》总编室、《遵义晚报》新闻部、《遵义晚报》网络新闻部、《遵义晚报》广告经营部、《遵义日报》广告经营部、研究室、经营管理部、遵义广播电视报编辑部。</w:t>
      </w:r>
    </w:p>
    <w:p>
      <w:pPr>
        <w:pStyle w:val="38"/>
        <w:ind w:firstLine="600" w:firstLineChars="200"/>
        <w:rPr>
          <w:rFonts w:ascii="仿宋_GB2312" w:eastAsia="仿宋_GB2312"/>
          <w:sz w:val="30"/>
          <w:szCs w:val="30"/>
        </w:rPr>
      </w:pPr>
      <w:r>
        <w:rPr>
          <w:rFonts w:hint="eastAsia" w:ascii="仿宋_GB2312" w:eastAsia="仿宋_GB2312"/>
          <w:sz w:val="30"/>
          <w:szCs w:val="30"/>
        </w:rPr>
        <w:t>下属事业单位0个。</w:t>
      </w:r>
    </w:p>
    <w:p>
      <w:pPr>
        <w:pStyle w:val="3"/>
        <w:spacing w:before="156" w:after="156"/>
        <w:rPr>
          <w:rFonts w:hint="eastAsia"/>
        </w:rPr>
      </w:pPr>
      <w:r>
        <w:rPr>
          <w:rFonts w:hint="eastAsia"/>
        </w:rPr>
        <w:t>三、部门决算单位和人员构成</w:t>
      </w:r>
      <w:bookmarkEnd w:id="22"/>
      <w:bookmarkEnd w:id="23"/>
      <w:bookmarkEnd w:id="24"/>
      <w:bookmarkEnd w:id="25"/>
      <w:bookmarkEnd w:id="26"/>
      <w:bookmarkEnd w:id="27"/>
    </w:p>
    <w:p>
      <w:pPr>
        <w:ind w:firstLine="600" w:firstLineChars="200"/>
        <w:rPr>
          <w:rFonts w:hint="eastAsia" w:ascii="仿宋_GB2312" w:eastAsia="仿宋_GB2312"/>
          <w:sz w:val="30"/>
          <w:szCs w:val="30"/>
        </w:rPr>
      </w:pPr>
      <w:bookmarkStart w:id="28" w:name="_Toc16244_WPSOffice_Level1"/>
      <w:bookmarkStart w:id="29" w:name="_Toc15023_WPSOffice_Level1"/>
      <w:bookmarkStart w:id="30" w:name="_Toc213"/>
      <w:bookmarkStart w:id="31" w:name="_Toc9181_WPSOffice_Level1"/>
      <w:bookmarkStart w:id="32" w:name="_Toc24719"/>
      <w:bookmarkStart w:id="33" w:name="_Toc31299_WPSOffice_Level1"/>
      <w:r>
        <w:rPr>
          <w:rFonts w:hint="eastAsia" w:ascii="仿宋_GB2312" w:eastAsia="仿宋_GB2312"/>
          <w:sz w:val="30"/>
          <w:szCs w:val="30"/>
        </w:rPr>
        <w:t>（一）部门决算单位构成</w:t>
      </w:r>
    </w:p>
    <w:tbl>
      <w:tblPr>
        <w:tblStyle w:val="1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6"/>
        <w:gridCol w:w="4544"/>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6" w:type="dxa"/>
            <w:noWrap w:val="0"/>
            <w:vAlign w:val="top"/>
          </w:tcPr>
          <w:p>
            <w:pPr>
              <w:jc w:val="center"/>
              <w:rPr>
                <w:rFonts w:hint="eastAsia" w:ascii="仿宋_GB2312" w:eastAsia="仿宋_GB2312"/>
                <w:sz w:val="30"/>
                <w:szCs w:val="30"/>
              </w:rPr>
            </w:pPr>
            <w:r>
              <w:rPr>
                <w:rFonts w:hint="eastAsia" w:ascii="仿宋_GB2312" w:eastAsia="仿宋_GB2312"/>
                <w:sz w:val="30"/>
                <w:szCs w:val="30"/>
              </w:rPr>
              <w:t>序号</w:t>
            </w:r>
          </w:p>
        </w:tc>
        <w:tc>
          <w:tcPr>
            <w:tcW w:w="4544" w:type="dxa"/>
            <w:noWrap w:val="0"/>
            <w:vAlign w:val="top"/>
          </w:tcPr>
          <w:p>
            <w:pPr>
              <w:ind w:left="234" w:hanging="234" w:hangingChars="78"/>
              <w:jc w:val="center"/>
              <w:rPr>
                <w:rFonts w:hint="eastAsia" w:ascii="仿宋_GB2312" w:eastAsia="仿宋_GB2312"/>
                <w:sz w:val="30"/>
                <w:szCs w:val="30"/>
              </w:rPr>
            </w:pPr>
            <w:r>
              <w:rPr>
                <w:rFonts w:hint="eastAsia" w:ascii="仿宋_GB2312" w:eastAsia="仿宋_GB2312"/>
                <w:sz w:val="30"/>
                <w:szCs w:val="30"/>
              </w:rPr>
              <w:t>单位名称</w:t>
            </w:r>
          </w:p>
        </w:tc>
        <w:tc>
          <w:tcPr>
            <w:tcW w:w="3420" w:type="dxa"/>
            <w:noWrap w:val="0"/>
            <w:vAlign w:val="top"/>
          </w:tcPr>
          <w:p>
            <w:pPr>
              <w:jc w:val="center"/>
              <w:rPr>
                <w:rFonts w:hint="eastAsia" w:ascii="仿宋_GB2312" w:eastAsia="仿宋_GB2312"/>
                <w:sz w:val="30"/>
                <w:szCs w:val="30"/>
              </w:rPr>
            </w:pPr>
            <w:r>
              <w:rPr>
                <w:rFonts w:hint="eastAsia" w:ascii="仿宋_GB2312" w:eastAsia="仿宋_GB2312"/>
                <w:sz w:val="30"/>
                <w:szCs w:val="30"/>
              </w:rPr>
              <w:t>单位类型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6" w:type="dxa"/>
            <w:noWrap w:val="0"/>
            <w:vAlign w:val="top"/>
          </w:tcPr>
          <w:p>
            <w:pPr>
              <w:jc w:val="center"/>
              <w:rPr>
                <w:rFonts w:hint="eastAsia" w:ascii="仿宋_GB2312" w:eastAsia="仿宋_GB2312"/>
                <w:sz w:val="30"/>
                <w:szCs w:val="30"/>
              </w:rPr>
            </w:pPr>
            <w:r>
              <w:rPr>
                <w:rFonts w:hint="eastAsia" w:ascii="仿宋_GB2312" w:eastAsia="仿宋_GB2312"/>
                <w:sz w:val="30"/>
                <w:szCs w:val="30"/>
              </w:rPr>
              <w:t>1</w:t>
            </w:r>
          </w:p>
        </w:tc>
        <w:tc>
          <w:tcPr>
            <w:tcW w:w="4544" w:type="dxa"/>
            <w:noWrap w:val="0"/>
            <w:vAlign w:val="top"/>
          </w:tcPr>
          <w:p>
            <w:pPr>
              <w:jc w:val="center"/>
              <w:rPr>
                <w:rFonts w:hint="eastAsia" w:ascii="仿宋_GB2312" w:eastAsia="仿宋_GB2312"/>
                <w:sz w:val="30"/>
                <w:szCs w:val="30"/>
              </w:rPr>
            </w:pPr>
            <w:r>
              <w:rPr>
                <w:rFonts w:hint="eastAsia" w:ascii="仿宋_GB2312" w:eastAsia="仿宋_GB2312"/>
                <w:sz w:val="30"/>
                <w:szCs w:val="30"/>
              </w:rPr>
              <w:t>遵义日报社</w:t>
            </w:r>
          </w:p>
        </w:tc>
        <w:tc>
          <w:tcPr>
            <w:tcW w:w="3420" w:type="dxa"/>
            <w:noWrap w:val="0"/>
            <w:vAlign w:val="top"/>
          </w:tcPr>
          <w:p>
            <w:pPr>
              <w:jc w:val="center"/>
              <w:rPr>
                <w:rFonts w:hint="eastAsia" w:ascii="仿宋_GB2312" w:eastAsia="仿宋_GB2312"/>
                <w:sz w:val="30"/>
                <w:szCs w:val="30"/>
              </w:rPr>
            </w:pPr>
            <w:r>
              <w:rPr>
                <w:rFonts w:hint="eastAsia" w:ascii="仿宋_GB2312" w:eastAsia="仿宋_GB2312"/>
                <w:sz w:val="30"/>
                <w:szCs w:val="30"/>
              </w:rPr>
              <w:t>财政补助事业单位</w:t>
            </w:r>
          </w:p>
        </w:tc>
      </w:tr>
    </w:tbl>
    <w:p>
      <w:pPr>
        <w:ind w:firstLine="600" w:firstLineChars="200"/>
        <w:rPr>
          <w:rFonts w:hint="eastAsia" w:ascii="仿宋_GB2312" w:eastAsia="仿宋_GB2312"/>
          <w:sz w:val="30"/>
          <w:szCs w:val="30"/>
        </w:rPr>
      </w:pPr>
      <w:r>
        <w:rPr>
          <w:rFonts w:hint="eastAsia" w:ascii="仿宋_GB2312" w:eastAsia="仿宋_GB2312"/>
          <w:sz w:val="30"/>
          <w:szCs w:val="30"/>
        </w:rPr>
        <w:t>（二）部门人员构成</w:t>
      </w:r>
    </w:p>
    <w:tbl>
      <w:tblPr>
        <w:tblStyle w:val="14"/>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5"/>
        <w:gridCol w:w="1505"/>
        <w:gridCol w:w="1693"/>
        <w:gridCol w:w="1694"/>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505" w:type="dxa"/>
            <w:vMerge w:val="restart"/>
            <w:noWrap w:val="0"/>
            <w:vAlign w:val="top"/>
          </w:tcPr>
          <w:p>
            <w:pPr>
              <w:rPr>
                <w:rFonts w:hint="eastAsia" w:ascii="仿宋_GB2312" w:eastAsia="仿宋_GB2312"/>
                <w:sz w:val="30"/>
                <w:szCs w:val="30"/>
              </w:rPr>
            </w:pPr>
          </w:p>
          <w:p>
            <w:pPr>
              <w:rPr>
                <w:rFonts w:hint="eastAsia" w:ascii="仿宋_GB2312" w:eastAsia="仿宋_GB2312"/>
                <w:sz w:val="30"/>
                <w:szCs w:val="30"/>
              </w:rPr>
            </w:pPr>
            <w:r>
              <w:rPr>
                <w:rFonts w:hint="eastAsia" w:ascii="仿宋_GB2312" w:eastAsia="仿宋_GB2312"/>
                <w:sz w:val="30"/>
                <w:szCs w:val="30"/>
              </w:rPr>
              <w:t>编制数</w:t>
            </w:r>
          </w:p>
        </w:tc>
        <w:tc>
          <w:tcPr>
            <w:tcW w:w="4892" w:type="dxa"/>
            <w:gridSpan w:val="3"/>
            <w:noWrap w:val="0"/>
            <w:vAlign w:val="top"/>
          </w:tcPr>
          <w:p>
            <w:pPr>
              <w:ind w:left="234" w:hanging="234" w:hangingChars="78"/>
              <w:jc w:val="center"/>
              <w:rPr>
                <w:rFonts w:hint="eastAsia" w:ascii="仿宋_GB2312" w:eastAsia="仿宋_GB2312"/>
                <w:sz w:val="30"/>
                <w:szCs w:val="30"/>
              </w:rPr>
            </w:pPr>
            <w:r>
              <w:rPr>
                <w:rFonts w:hint="eastAsia" w:ascii="仿宋_GB2312" w:eastAsia="仿宋_GB2312"/>
                <w:sz w:val="30"/>
                <w:szCs w:val="30"/>
              </w:rPr>
              <w:t>在编实有人数</w:t>
            </w:r>
          </w:p>
        </w:tc>
        <w:tc>
          <w:tcPr>
            <w:tcW w:w="1881" w:type="dxa"/>
            <w:vMerge w:val="restart"/>
            <w:noWrap w:val="0"/>
            <w:vAlign w:val="top"/>
          </w:tcPr>
          <w:p>
            <w:pPr>
              <w:ind w:right="-666" w:rightChars="-222"/>
              <w:rPr>
                <w:rFonts w:hint="eastAsia" w:ascii="仿宋_GB2312" w:eastAsia="仿宋_GB2312"/>
                <w:sz w:val="30"/>
                <w:szCs w:val="30"/>
              </w:rPr>
            </w:pPr>
            <w:r>
              <w:rPr>
                <w:rFonts w:hint="eastAsia" w:ascii="仿宋_GB2312" w:eastAsia="仿宋_GB2312"/>
                <w:sz w:val="30"/>
                <w:szCs w:val="30"/>
              </w:rPr>
              <w:t>离退休人员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1505" w:type="dxa"/>
            <w:vMerge w:val="continue"/>
            <w:noWrap w:val="0"/>
            <w:vAlign w:val="top"/>
          </w:tcPr>
          <w:p>
            <w:pPr>
              <w:jc w:val="center"/>
              <w:rPr>
                <w:rFonts w:hint="eastAsia" w:ascii="仿宋_GB2312" w:eastAsia="仿宋_GB2312"/>
                <w:sz w:val="30"/>
                <w:szCs w:val="30"/>
              </w:rPr>
            </w:pPr>
          </w:p>
        </w:tc>
        <w:tc>
          <w:tcPr>
            <w:tcW w:w="1505" w:type="dxa"/>
            <w:noWrap w:val="0"/>
            <w:vAlign w:val="top"/>
          </w:tcPr>
          <w:p>
            <w:pPr>
              <w:ind w:firstLine="300" w:firstLineChars="100"/>
              <w:rPr>
                <w:rFonts w:hint="eastAsia" w:ascii="仿宋_GB2312" w:eastAsia="仿宋_GB2312"/>
                <w:sz w:val="30"/>
                <w:szCs w:val="30"/>
              </w:rPr>
            </w:pPr>
            <w:r>
              <w:rPr>
                <w:rFonts w:hint="eastAsia" w:ascii="仿宋_GB2312" w:eastAsia="仿宋_GB2312"/>
                <w:sz w:val="30"/>
                <w:szCs w:val="30"/>
              </w:rPr>
              <w:t>合计</w:t>
            </w:r>
          </w:p>
        </w:tc>
        <w:tc>
          <w:tcPr>
            <w:tcW w:w="1693" w:type="dxa"/>
            <w:noWrap w:val="0"/>
            <w:vAlign w:val="top"/>
          </w:tcPr>
          <w:p>
            <w:pPr>
              <w:jc w:val="center"/>
              <w:rPr>
                <w:rFonts w:hint="eastAsia" w:ascii="仿宋_GB2312" w:eastAsia="仿宋_GB2312"/>
                <w:sz w:val="30"/>
                <w:szCs w:val="30"/>
              </w:rPr>
            </w:pPr>
            <w:r>
              <w:rPr>
                <w:rFonts w:hint="eastAsia" w:ascii="仿宋_GB2312" w:eastAsia="仿宋_GB2312"/>
                <w:sz w:val="30"/>
                <w:szCs w:val="30"/>
              </w:rPr>
              <w:t>行政编制</w:t>
            </w:r>
          </w:p>
        </w:tc>
        <w:tc>
          <w:tcPr>
            <w:tcW w:w="1694" w:type="dxa"/>
            <w:noWrap w:val="0"/>
            <w:vAlign w:val="top"/>
          </w:tcPr>
          <w:p>
            <w:pPr>
              <w:jc w:val="center"/>
              <w:rPr>
                <w:rFonts w:hint="eastAsia" w:ascii="仿宋_GB2312" w:eastAsia="仿宋_GB2312"/>
                <w:sz w:val="30"/>
                <w:szCs w:val="30"/>
              </w:rPr>
            </w:pPr>
            <w:r>
              <w:rPr>
                <w:rFonts w:hint="eastAsia" w:ascii="仿宋_GB2312" w:eastAsia="仿宋_GB2312"/>
                <w:sz w:val="30"/>
                <w:szCs w:val="30"/>
              </w:rPr>
              <w:t>事业编制</w:t>
            </w:r>
          </w:p>
        </w:tc>
        <w:tc>
          <w:tcPr>
            <w:tcW w:w="1881" w:type="dxa"/>
            <w:vMerge w:val="continue"/>
            <w:noWrap w:val="0"/>
            <w:vAlign w:val="top"/>
          </w:tcPr>
          <w:p>
            <w:pPr>
              <w:rPr>
                <w:rFonts w:hint="eastAsia"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1505" w:type="dxa"/>
            <w:noWrap w:val="0"/>
            <w:vAlign w:val="top"/>
          </w:tcPr>
          <w:p>
            <w:pPr>
              <w:jc w:val="center"/>
              <w:rPr>
                <w:rFonts w:hint="eastAsia" w:ascii="仿宋_GB2312" w:eastAsia="仿宋_GB2312"/>
                <w:sz w:val="30"/>
                <w:szCs w:val="30"/>
              </w:rPr>
            </w:pPr>
            <w:r>
              <w:rPr>
                <w:rFonts w:hint="eastAsia" w:ascii="仿宋_GB2312" w:eastAsia="仿宋_GB2312"/>
                <w:sz w:val="30"/>
                <w:szCs w:val="30"/>
              </w:rPr>
              <w:t>169</w:t>
            </w:r>
          </w:p>
        </w:tc>
        <w:tc>
          <w:tcPr>
            <w:tcW w:w="1505" w:type="dxa"/>
            <w:noWrap w:val="0"/>
            <w:vAlign w:val="top"/>
          </w:tcPr>
          <w:p>
            <w:pPr>
              <w:rPr>
                <w:rFonts w:hint="default" w:ascii="仿宋_GB2312" w:eastAsia="仿宋_GB2312"/>
                <w:sz w:val="30"/>
                <w:szCs w:val="30"/>
                <w:lang w:val="en-US" w:eastAsia="zh-CN"/>
              </w:rPr>
            </w:pPr>
            <w:r>
              <w:rPr>
                <w:rFonts w:hint="eastAsia" w:ascii="仿宋_GB2312"/>
                <w:sz w:val="30"/>
                <w:szCs w:val="30"/>
                <w:lang w:val="en-US" w:eastAsia="zh-CN"/>
              </w:rPr>
              <w:t>67</w:t>
            </w:r>
          </w:p>
        </w:tc>
        <w:tc>
          <w:tcPr>
            <w:tcW w:w="1693" w:type="dxa"/>
            <w:noWrap w:val="0"/>
            <w:vAlign w:val="top"/>
          </w:tcPr>
          <w:p>
            <w:pPr>
              <w:rPr>
                <w:rFonts w:hint="eastAsia" w:ascii="仿宋_GB2312" w:eastAsia="仿宋_GB2312"/>
                <w:sz w:val="30"/>
                <w:szCs w:val="30"/>
              </w:rPr>
            </w:pPr>
          </w:p>
        </w:tc>
        <w:tc>
          <w:tcPr>
            <w:tcW w:w="1694" w:type="dxa"/>
            <w:noWrap w:val="0"/>
            <w:vAlign w:val="top"/>
          </w:tcPr>
          <w:p>
            <w:pPr>
              <w:rPr>
                <w:rFonts w:hint="default" w:ascii="仿宋_GB2312" w:eastAsia="仿宋_GB2312"/>
                <w:sz w:val="30"/>
                <w:szCs w:val="30"/>
                <w:lang w:val="en-US" w:eastAsia="zh-CN"/>
              </w:rPr>
            </w:pPr>
            <w:r>
              <w:rPr>
                <w:rFonts w:hint="eastAsia" w:ascii="仿宋_GB2312"/>
                <w:sz w:val="30"/>
                <w:szCs w:val="30"/>
                <w:lang w:val="en-US" w:eastAsia="zh-CN"/>
              </w:rPr>
              <w:t>67</w:t>
            </w:r>
          </w:p>
        </w:tc>
        <w:tc>
          <w:tcPr>
            <w:tcW w:w="1881" w:type="dxa"/>
            <w:noWrap w:val="0"/>
            <w:vAlign w:val="top"/>
          </w:tcPr>
          <w:p>
            <w:pPr>
              <w:rPr>
                <w:rFonts w:hint="eastAsia" w:ascii="仿宋_GB2312" w:eastAsia="仿宋_GB2312"/>
                <w:sz w:val="30"/>
                <w:szCs w:val="30"/>
                <w:lang w:val="en-US" w:eastAsia="zh-CN"/>
              </w:rPr>
            </w:pPr>
            <w:r>
              <w:rPr>
                <w:rFonts w:hint="eastAsia" w:ascii="仿宋_GB2312" w:eastAsia="仿宋_GB2312"/>
                <w:sz w:val="30"/>
                <w:szCs w:val="30"/>
              </w:rPr>
              <w:t>5</w:t>
            </w:r>
            <w:r>
              <w:rPr>
                <w:rFonts w:hint="eastAsia" w:ascii="仿宋_GB2312"/>
                <w:sz w:val="30"/>
                <w:szCs w:val="30"/>
                <w:lang w:val="en-US" w:eastAsia="zh-CN"/>
              </w:rPr>
              <w:t>8</w:t>
            </w:r>
          </w:p>
        </w:tc>
      </w:tr>
    </w:tbl>
    <w:p>
      <w:pPr>
        <w:pStyle w:val="2"/>
        <w:spacing w:before="156" w:after="156"/>
        <w:ind w:left="0" w:leftChars="0" w:right="300"/>
        <w:jc w:val="center"/>
        <w:rPr>
          <w:rFonts w:hint="eastAsia"/>
          <w:sz w:val="36"/>
          <w:szCs w:val="36"/>
        </w:rPr>
      </w:pPr>
    </w:p>
    <w:p>
      <w:pPr>
        <w:pStyle w:val="2"/>
        <w:spacing w:before="156" w:after="156"/>
        <w:ind w:left="0" w:leftChars="0" w:right="300"/>
        <w:jc w:val="center"/>
        <w:rPr>
          <w:rFonts w:hint="eastAsia"/>
          <w:sz w:val="36"/>
          <w:szCs w:val="36"/>
        </w:rPr>
      </w:pPr>
      <w:r>
        <w:rPr>
          <w:rFonts w:hint="eastAsia"/>
          <w:sz w:val="36"/>
          <w:szCs w:val="36"/>
        </w:rPr>
        <w:t>第二部分2021年度部门决算公开报表</w:t>
      </w:r>
    </w:p>
    <w:p>
      <w:pPr>
        <w:pStyle w:val="2"/>
        <w:spacing w:before="156" w:after="156"/>
        <w:ind w:left="0" w:leftChars="0" w:right="300"/>
        <w:jc w:val="center"/>
        <w:rPr>
          <w:rFonts w:hint="eastAsia"/>
        </w:rPr>
      </w:pPr>
      <w:r>
        <w:rPr>
          <w:rFonts w:hint="eastAsia"/>
        </w:rPr>
        <w:t>（详见附表）</w:t>
      </w:r>
      <w:bookmarkEnd w:id="28"/>
      <w:bookmarkEnd w:id="29"/>
      <w:bookmarkEnd w:id="30"/>
      <w:bookmarkEnd w:id="31"/>
      <w:bookmarkEnd w:id="32"/>
      <w:bookmarkEnd w:id="33"/>
    </w:p>
    <w:p>
      <w:pPr>
        <w:pStyle w:val="3"/>
        <w:spacing w:before="156" w:after="156"/>
        <w:rPr>
          <w:rFonts w:hint="eastAsia"/>
        </w:rPr>
      </w:pPr>
      <w:bookmarkStart w:id="34" w:name="_Toc15999_WPSOffice_Level2"/>
      <w:bookmarkStart w:id="35" w:name="_Toc31386_WPSOffice_Level2"/>
      <w:bookmarkStart w:id="36" w:name="_Toc17285_WPSOffice_Level2"/>
      <w:bookmarkStart w:id="37" w:name="_Toc6666"/>
      <w:bookmarkStart w:id="38" w:name="_Toc21094_WPSOffice_Level2"/>
    </w:p>
    <w:p>
      <w:pPr>
        <w:pStyle w:val="3"/>
        <w:spacing w:before="156" w:after="156"/>
        <w:rPr>
          <w:rFonts w:hint="eastAsia"/>
        </w:rPr>
      </w:pPr>
      <w:r>
        <w:rPr>
          <w:rFonts w:hint="eastAsia"/>
        </w:rPr>
        <w:t>一、收入支出决算总表（公开01表）</w:t>
      </w:r>
      <w:bookmarkEnd w:id="34"/>
      <w:bookmarkEnd w:id="35"/>
      <w:bookmarkEnd w:id="36"/>
      <w:bookmarkEnd w:id="37"/>
      <w:bookmarkEnd w:id="38"/>
    </w:p>
    <w:p>
      <w:pPr>
        <w:pStyle w:val="3"/>
        <w:spacing w:before="156" w:after="156"/>
        <w:rPr>
          <w:rFonts w:hint="eastAsia"/>
        </w:rPr>
      </w:pPr>
      <w:bookmarkStart w:id="39" w:name="_Toc2618_WPSOffice_Level2"/>
      <w:bookmarkStart w:id="40" w:name="_Toc21379"/>
      <w:bookmarkStart w:id="41" w:name="_Toc6606_WPSOffice_Level2"/>
      <w:bookmarkStart w:id="42" w:name="_Toc18184_WPSOffice_Level2"/>
      <w:bookmarkStart w:id="43" w:name="_Toc14919_WPSOffice_Level2"/>
      <w:r>
        <w:rPr>
          <w:rFonts w:hint="eastAsia"/>
        </w:rPr>
        <w:t>二、收入决算表（公开02表）</w:t>
      </w:r>
      <w:bookmarkEnd w:id="39"/>
      <w:bookmarkEnd w:id="40"/>
      <w:bookmarkEnd w:id="41"/>
      <w:bookmarkEnd w:id="42"/>
      <w:bookmarkEnd w:id="43"/>
    </w:p>
    <w:p>
      <w:pPr>
        <w:pStyle w:val="3"/>
        <w:spacing w:before="156" w:after="156"/>
        <w:rPr>
          <w:rFonts w:hint="eastAsia"/>
        </w:rPr>
      </w:pPr>
      <w:bookmarkStart w:id="44" w:name="_Toc2184"/>
      <w:bookmarkStart w:id="45" w:name="_Toc31249_WPSOffice_Level2"/>
      <w:bookmarkStart w:id="46" w:name="_Toc10505_WPSOffice_Level2"/>
      <w:bookmarkStart w:id="47" w:name="_Toc1931_WPSOffice_Level2"/>
      <w:bookmarkStart w:id="48" w:name="_Toc31229_WPSOffice_Level2"/>
      <w:r>
        <w:rPr>
          <w:rFonts w:hint="eastAsia"/>
        </w:rPr>
        <w:t>三、支出决算表（公开03表）</w:t>
      </w:r>
      <w:bookmarkEnd w:id="44"/>
      <w:bookmarkEnd w:id="45"/>
      <w:bookmarkEnd w:id="46"/>
      <w:bookmarkEnd w:id="47"/>
      <w:bookmarkEnd w:id="48"/>
    </w:p>
    <w:p>
      <w:pPr>
        <w:pStyle w:val="3"/>
        <w:spacing w:before="156" w:after="156"/>
        <w:rPr>
          <w:rFonts w:hint="eastAsia"/>
        </w:rPr>
      </w:pPr>
      <w:bookmarkStart w:id="49" w:name="_Toc1217_WPSOffice_Level2"/>
      <w:bookmarkStart w:id="50" w:name="_Toc7874_WPSOffice_Level2"/>
      <w:bookmarkStart w:id="51" w:name="_Toc19355"/>
      <w:bookmarkStart w:id="52" w:name="_Toc28715_WPSOffice_Level2"/>
      <w:bookmarkStart w:id="53" w:name="_Toc13900_WPSOffice_Level2"/>
      <w:r>
        <w:rPr>
          <w:rFonts w:hint="eastAsia"/>
        </w:rPr>
        <w:t>四、财政拨款收入支出决算总表（公开04表）</w:t>
      </w:r>
      <w:bookmarkEnd w:id="49"/>
      <w:bookmarkEnd w:id="50"/>
      <w:bookmarkEnd w:id="51"/>
      <w:bookmarkEnd w:id="52"/>
      <w:bookmarkEnd w:id="53"/>
    </w:p>
    <w:p>
      <w:pPr>
        <w:pStyle w:val="3"/>
        <w:spacing w:before="156" w:after="156"/>
        <w:rPr>
          <w:rFonts w:hint="eastAsia"/>
        </w:rPr>
      </w:pPr>
      <w:bookmarkStart w:id="54" w:name="_Toc2216"/>
      <w:bookmarkStart w:id="55" w:name="_Toc19507_WPSOffice_Level2"/>
      <w:bookmarkStart w:id="56" w:name="_Toc29724_WPSOffice_Level2"/>
      <w:bookmarkStart w:id="57" w:name="_Toc3269_WPSOffice_Level2"/>
      <w:bookmarkStart w:id="58" w:name="_Toc9521_WPSOffice_Level2"/>
      <w:r>
        <w:rPr>
          <w:rFonts w:hint="eastAsia"/>
        </w:rPr>
        <w:t>五、一般公共预算财政拨款支出决算表（公开05表）</w:t>
      </w:r>
      <w:bookmarkEnd w:id="54"/>
      <w:bookmarkEnd w:id="55"/>
      <w:bookmarkEnd w:id="56"/>
      <w:bookmarkEnd w:id="57"/>
      <w:bookmarkEnd w:id="58"/>
    </w:p>
    <w:p>
      <w:pPr>
        <w:pStyle w:val="3"/>
        <w:spacing w:before="156" w:after="156"/>
        <w:rPr>
          <w:rFonts w:hint="eastAsia"/>
        </w:rPr>
      </w:pPr>
      <w:bookmarkStart w:id="59" w:name="_Toc30881"/>
      <w:bookmarkStart w:id="60" w:name="_Toc23106_WPSOffice_Level2"/>
      <w:bookmarkStart w:id="61" w:name="_Toc31128_WPSOffice_Level2"/>
      <w:bookmarkStart w:id="62" w:name="_Toc19364_WPSOffice_Level2"/>
      <w:bookmarkStart w:id="63" w:name="_Toc2787_WPSOffice_Level2"/>
      <w:r>
        <w:rPr>
          <w:rFonts w:hint="eastAsia"/>
        </w:rPr>
        <w:t>六、一般公共预算财政拨款基本支出决算表（公开06表）</w:t>
      </w:r>
      <w:bookmarkEnd w:id="59"/>
      <w:bookmarkEnd w:id="60"/>
      <w:bookmarkEnd w:id="61"/>
      <w:bookmarkEnd w:id="62"/>
      <w:bookmarkEnd w:id="63"/>
    </w:p>
    <w:p>
      <w:pPr>
        <w:pStyle w:val="3"/>
        <w:spacing w:before="156" w:after="156"/>
        <w:rPr>
          <w:rFonts w:hint="eastAsia"/>
        </w:rPr>
      </w:pPr>
      <w:bookmarkStart w:id="64" w:name="_Toc13164_WPSOffice_Level2"/>
      <w:bookmarkStart w:id="65" w:name="_Toc29221_WPSOffice_Level2"/>
      <w:bookmarkStart w:id="66" w:name="_Toc1168_WPSOffice_Level2"/>
      <w:bookmarkStart w:id="67" w:name="_Toc17803"/>
      <w:bookmarkStart w:id="68" w:name="_Toc22264_WPSOffice_Level2"/>
      <w:r>
        <w:rPr>
          <w:rFonts w:hint="eastAsia"/>
        </w:rPr>
        <w:t>七、一般公共预算财政拨款“三公”经费支出决算表（公开07表）</w:t>
      </w:r>
      <w:bookmarkEnd w:id="64"/>
      <w:bookmarkEnd w:id="65"/>
      <w:bookmarkEnd w:id="66"/>
      <w:bookmarkEnd w:id="67"/>
      <w:bookmarkEnd w:id="68"/>
    </w:p>
    <w:p>
      <w:pPr>
        <w:pStyle w:val="3"/>
        <w:spacing w:before="156" w:after="156"/>
        <w:rPr>
          <w:rFonts w:hint="eastAsia"/>
        </w:rPr>
      </w:pPr>
      <w:bookmarkStart w:id="69" w:name="_Toc4546"/>
      <w:bookmarkStart w:id="70" w:name="_Toc6363_WPSOffice_Level2"/>
      <w:bookmarkStart w:id="71" w:name="_Toc6219_WPSOffice_Level2"/>
      <w:bookmarkStart w:id="72" w:name="_Toc1011_WPSOffice_Level2"/>
      <w:bookmarkStart w:id="73" w:name="_Toc5302_WPSOffice_Level2"/>
      <w:r>
        <w:rPr>
          <w:rFonts w:hint="eastAsia"/>
        </w:rPr>
        <w:t>八、政府性基金预算财政拨款收入支出决算表（公开08表）</w:t>
      </w:r>
      <w:bookmarkEnd w:id="69"/>
      <w:bookmarkEnd w:id="70"/>
      <w:bookmarkEnd w:id="71"/>
      <w:bookmarkEnd w:id="72"/>
      <w:bookmarkEnd w:id="73"/>
    </w:p>
    <w:p>
      <w:pPr>
        <w:pStyle w:val="3"/>
        <w:spacing w:before="156" w:after="156"/>
        <w:rPr>
          <w:rFonts w:hint="eastAsia"/>
        </w:rPr>
      </w:pPr>
      <w:bookmarkStart w:id="74" w:name="_Toc14317"/>
      <w:bookmarkStart w:id="75" w:name="_Toc19532_WPSOffice_Level2"/>
      <w:bookmarkStart w:id="76" w:name="_Toc3392_WPSOffice_Level2"/>
      <w:bookmarkStart w:id="77" w:name="_Toc13439_WPSOffice_Level2"/>
      <w:bookmarkStart w:id="78" w:name="_Toc7424_WPSOffice_Level2"/>
      <w:r>
        <w:rPr>
          <w:rFonts w:hint="eastAsia"/>
        </w:rPr>
        <w:t>九、国有资本经营预算财政拨款收入支出决算表（公开09表）</w:t>
      </w:r>
      <w:bookmarkEnd w:id="74"/>
      <w:bookmarkEnd w:id="75"/>
      <w:bookmarkEnd w:id="76"/>
      <w:bookmarkEnd w:id="77"/>
      <w:bookmarkEnd w:id="78"/>
    </w:p>
    <w:p>
      <w:pPr>
        <w:pStyle w:val="3"/>
        <w:spacing w:before="156" w:after="156"/>
      </w:pPr>
      <w:bookmarkStart w:id="79" w:name="_Toc2344_WPSOffice_Level2"/>
      <w:bookmarkStart w:id="80" w:name="_Toc31578_WPSOffice_Level2"/>
      <w:bookmarkStart w:id="81" w:name="_Toc31210"/>
      <w:bookmarkStart w:id="82" w:name="_Toc668_WPSOffice_Level2"/>
      <w:bookmarkStart w:id="83" w:name="_Toc26655_WPSOffice_Level2"/>
      <w:r>
        <w:rPr>
          <w:rFonts w:hint="eastAsia"/>
        </w:rPr>
        <w:t>十、非财政拨款收入支出决算表（公开10表）</w:t>
      </w:r>
      <w:bookmarkEnd w:id="79"/>
      <w:bookmarkEnd w:id="80"/>
      <w:bookmarkEnd w:id="81"/>
      <w:bookmarkEnd w:id="82"/>
      <w:bookmarkEnd w:id="83"/>
    </w:p>
    <w:p>
      <w:pPr>
        <w:pStyle w:val="2"/>
        <w:spacing w:before="156" w:after="156"/>
        <w:ind w:left="300" w:right="300"/>
        <w:rPr>
          <w:rFonts w:hint="eastAsia"/>
        </w:rPr>
      </w:pPr>
      <w:bookmarkStart w:id="84" w:name="_Toc29743_WPSOffice_Level1"/>
      <w:bookmarkStart w:id="85" w:name="_Toc28894"/>
      <w:bookmarkStart w:id="86" w:name="_Toc32511_WPSOffice_Level1"/>
      <w:bookmarkStart w:id="87" w:name="_Toc9815_WPSOffice_Level1"/>
      <w:bookmarkStart w:id="88" w:name="_Toc886_WPSOffice_Level1"/>
      <w:bookmarkStart w:id="89" w:name="_Toc22439"/>
    </w:p>
    <w:p>
      <w:pPr>
        <w:pStyle w:val="2"/>
        <w:spacing w:before="156" w:after="156"/>
        <w:ind w:left="300" w:right="300"/>
        <w:jc w:val="center"/>
        <w:rPr>
          <w:rFonts w:hint="eastAsia"/>
        </w:rPr>
      </w:pPr>
    </w:p>
    <w:p>
      <w:pPr>
        <w:pStyle w:val="2"/>
        <w:spacing w:before="156" w:after="156"/>
        <w:ind w:left="300" w:right="300"/>
        <w:jc w:val="center"/>
        <w:rPr>
          <w:rFonts w:hint="eastAsia"/>
        </w:rPr>
      </w:pPr>
    </w:p>
    <w:p>
      <w:pPr>
        <w:pStyle w:val="2"/>
        <w:spacing w:before="156" w:after="156"/>
        <w:ind w:left="300" w:right="300"/>
        <w:jc w:val="center"/>
        <w:rPr>
          <w:rFonts w:hint="eastAsia"/>
        </w:rPr>
      </w:pPr>
    </w:p>
    <w:p>
      <w:pPr>
        <w:pStyle w:val="2"/>
        <w:spacing w:before="156" w:after="156"/>
        <w:ind w:left="0" w:leftChars="0" w:right="300" w:firstLine="0" w:firstLineChars="0"/>
        <w:jc w:val="center"/>
        <w:rPr>
          <w:rFonts w:hint="eastAsia"/>
        </w:rPr>
      </w:pPr>
    </w:p>
    <w:p>
      <w:pPr>
        <w:pStyle w:val="2"/>
        <w:spacing w:before="156" w:after="156"/>
        <w:ind w:left="0" w:leftChars="0" w:right="300" w:firstLine="0" w:firstLineChars="0"/>
        <w:jc w:val="center"/>
        <w:rPr>
          <w:rFonts w:hint="eastAsia"/>
          <w:sz w:val="36"/>
          <w:szCs w:val="36"/>
        </w:rPr>
      </w:pPr>
      <w:r>
        <w:rPr>
          <w:rFonts w:hint="eastAsia"/>
          <w:sz w:val="36"/>
          <w:szCs w:val="36"/>
        </w:rPr>
        <w:t>第三部分  2021年度部门决算情况说明</w:t>
      </w:r>
      <w:bookmarkEnd w:id="84"/>
      <w:bookmarkEnd w:id="85"/>
      <w:bookmarkEnd w:id="86"/>
      <w:bookmarkEnd w:id="87"/>
      <w:bookmarkEnd w:id="88"/>
      <w:bookmarkEnd w:id="89"/>
    </w:p>
    <w:p>
      <w:pPr>
        <w:pStyle w:val="3"/>
        <w:spacing w:before="156" w:after="156"/>
        <w:rPr>
          <w:rFonts w:hint="eastAsia"/>
        </w:rPr>
      </w:pPr>
      <w:bookmarkStart w:id="90" w:name="_Toc32099_WPSOffice_Level2"/>
      <w:bookmarkStart w:id="91" w:name="_Toc19749"/>
      <w:bookmarkStart w:id="92" w:name="_Toc545_WPSOffice_Level2"/>
      <w:bookmarkStart w:id="93" w:name="_Toc20420"/>
      <w:bookmarkStart w:id="94" w:name="_Toc9493_WPSOffice_Level2"/>
    </w:p>
    <w:p>
      <w:pPr>
        <w:pStyle w:val="3"/>
        <w:spacing w:before="156" w:after="156"/>
        <w:rPr>
          <w:rFonts w:hint="eastAsia"/>
        </w:rPr>
      </w:pPr>
      <w:r>
        <w:rPr>
          <w:rFonts w:hint="eastAsia"/>
        </w:rPr>
        <w:t>一、2021年度收入支出决算总体情况说明</w:t>
      </w:r>
      <w:bookmarkEnd w:id="90"/>
      <w:bookmarkEnd w:id="91"/>
      <w:bookmarkEnd w:id="92"/>
      <w:bookmarkEnd w:id="93"/>
      <w:bookmarkEnd w:id="94"/>
    </w:p>
    <w:p>
      <w:pPr>
        <w:shd w:val="clear"/>
        <w:ind w:firstLine="600" w:firstLineChars="200"/>
        <w:rPr>
          <w:color w:val="auto"/>
          <w:shd w:val="clear" w:color="auto" w:fill="auto"/>
        </w:rPr>
      </w:pPr>
      <w:r>
        <w:rPr>
          <w:rFonts w:hint="eastAsia"/>
          <w:color w:val="auto"/>
          <w:shd w:val="clear" w:color="auto" w:fill="auto"/>
        </w:rPr>
        <w:t>2021年度收、支总计</w:t>
      </w:r>
      <w:r>
        <w:rPr>
          <w:rFonts w:hint="eastAsia"/>
          <w:lang w:val="en-US" w:eastAsia="zh-CN"/>
        </w:rPr>
        <w:t>1021.37</w:t>
      </w:r>
      <w:r>
        <w:rPr>
          <w:rFonts w:hint="eastAsia"/>
          <w:color w:val="auto"/>
          <w:shd w:val="clear" w:color="auto" w:fill="auto"/>
        </w:rPr>
        <w:t>万元，与2020年相比，减少</w:t>
      </w:r>
      <w:r>
        <w:rPr>
          <w:rFonts w:hint="eastAsia"/>
          <w:lang w:val="en-US" w:eastAsia="zh-CN"/>
        </w:rPr>
        <w:t>176</w:t>
      </w:r>
      <w:r>
        <w:rPr>
          <w:rFonts w:hint="eastAsia"/>
          <w:color w:val="auto"/>
          <w:shd w:val="clear" w:color="auto" w:fill="auto"/>
        </w:rPr>
        <w:t>万元，降低</w:t>
      </w:r>
      <w:r>
        <w:rPr>
          <w:rFonts w:hint="eastAsia"/>
          <w:lang w:val="en-US" w:eastAsia="zh-CN"/>
        </w:rPr>
        <w:t>14.70</w:t>
      </w:r>
      <w:r>
        <w:rPr>
          <w:rFonts w:hint="eastAsia"/>
          <w:color w:val="auto"/>
          <w:shd w:val="clear" w:color="auto" w:fill="auto"/>
        </w:rPr>
        <w:t>%，主要原因是</w:t>
      </w:r>
      <w:r>
        <w:rPr>
          <w:rFonts w:hint="eastAsia" w:ascii="仿宋_GB2312" w:eastAsia="仿宋_GB2312"/>
          <w:color w:val="auto"/>
          <w:sz w:val="30"/>
          <w:szCs w:val="30"/>
          <w:shd w:val="clear" w:color="auto" w:fill="auto"/>
        </w:rPr>
        <w:t>主要原因是财政拨款收入有所减少</w:t>
      </w:r>
      <w:r>
        <w:rPr>
          <w:rFonts w:hint="eastAsia"/>
          <w:color w:val="auto"/>
          <w:shd w:val="clear" w:color="auto" w:fill="auto"/>
        </w:rPr>
        <w:t>。</w:t>
      </w:r>
    </w:p>
    <w:p>
      <w:pPr>
        <w:pStyle w:val="3"/>
        <w:shd w:val="clear"/>
        <w:spacing w:before="156" w:after="156"/>
        <w:rPr>
          <w:rFonts w:hint="eastAsia"/>
          <w:color w:val="auto"/>
          <w:shd w:val="clear" w:color="auto" w:fill="auto"/>
        </w:rPr>
      </w:pPr>
      <w:bookmarkStart w:id="95" w:name="_Toc14435_WPSOffice_Level2"/>
      <w:bookmarkStart w:id="96" w:name="_Toc29208"/>
      <w:bookmarkStart w:id="97" w:name="_Toc4009_WPSOffice_Level2"/>
      <w:bookmarkStart w:id="98" w:name="_Toc32291"/>
      <w:bookmarkStart w:id="99" w:name="_Toc11316_WPSOffice_Level2"/>
      <w:r>
        <w:rPr>
          <w:rFonts w:hint="eastAsia"/>
          <w:color w:val="auto"/>
          <w:shd w:val="clear" w:color="auto" w:fill="auto"/>
        </w:rPr>
        <w:t>二、2021年度收入决算情况说明</w:t>
      </w:r>
      <w:bookmarkEnd w:id="95"/>
      <w:bookmarkEnd w:id="96"/>
      <w:bookmarkEnd w:id="97"/>
      <w:bookmarkEnd w:id="98"/>
      <w:bookmarkEnd w:id="99"/>
    </w:p>
    <w:p>
      <w:pPr>
        <w:shd w:val="clear"/>
        <w:ind w:firstLine="600" w:firstLineChars="200"/>
        <w:rPr>
          <w:rFonts w:hint="eastAsia"/>
          <w:color w:val="auto"/>
          <w:shd w:val="clear" w:color="auto" w:fill="auto"/>
        </w:rPr>
      </w:pPr>
      <w:r>
        <w:rPr>
          <w:rFonts w:hint="eastAsia"/>
          <w:color w:val="auto"/>
          <w:shd w:val="clear" w:color="auto" w:fill="auto"/>
        </w:rPr>
        <w:t>本年收入合计</w:t>
      </w:r>
      <w:r>
        <w:rPr>
          <w:rFonts w:hint="eastAsia"/>
          <w:lang w:val="en-US" w:eastAsia="zh-CN"/>
        </w:rPr>
        <w:t>1021.37</w:t>
      </w:r>
      <w:r>
        <w:rPr>
          <w:rFonts w:hint="eastAsia"/>
          <w:color w:val="auto"/>
          <w:shd w:val="clear" w:color="auto" w:fill="auto"/>
        </w:rPr>
        <w:t>万元，其中：一般公共预算财政拨款收入</w:t>
      </w:r>
      <w:r>
        <w:rPr>
          <w:rFonts w:hint="eastAsia"/>
          <w:lang w:val="en-US" w:eastAsia="zh-CN"/>
        </w:rPr>
        <w:t>979.59</w:t>
      </w:r>
      <w:r>
        <w:rPr>
          <w:rFonts w:hint="eastAsia"/>
          <w:color w:val="auto"/>
          <w:shd w:val="clear" w:color="auto" w:fill="auto"/>
        </w:rPr>
        <w:t>万元，占</w:t>
      </w:r>
      <w:r>
        <w:rPr>
          <w:rFonts w:hint="eastAsia"/>
          <w:lang w:val="en-US" w:eastAsia="zh-CN"/>
        </w:rPr>
        <w:t>96</w:t>
      </w:r>
      <w:r>
        <w:rPr>
          <w:rFonts w:hint="eastAsia"/>
          <w:color w:val="auto"/>
          <w:shd w:val="clear" w:color="auto" w:fill="auto"/>
        </w:rPr>
        <w:t>%；政府性基金预算财政拨款收入</w:t>
      </w:r>
      <w:r>
        <w:rPr>
          <w:rFonts w:hint="eastAsia"/>
          <w:lang w:val="en-US" w:eastAsia="zh-CN"/>
        </w:rPr>
        <w:t>0</w:t>
      </w:r>
      <w:r>
        <w:rPr>
          <w:rFonts w:hint="eastAsia"/>
          <w:color w:val="auto"/>
          <w:shd w:val="clear" w:color="auto" w:fill="auto"/>
        </w:rPr>
        <w:t>万元，占</w:t>
      </w:r>
      <w:r>
        <w:rPr>
          <w:rFonts w:hint="eastAsia"/>
          <w:lang w:val="en-US" w:eastAsia="zh-CN"/>
        </w:rPr>
        <w:t>0</w:t>
      </w:r>
      <w:r>
        <w:rPr>
          <w:rFonts w:hint="eastAsia"/>
          <w:color w:val="auto"/>
          <w:shd w:val="clear" w:color="auto" w:fill="auto"/>
        </w:rPr>
        <w:t>%；上级补助收入</w:t>
      </w:r>
      <w:r>
        <w:rPr>
          <w:rFonts w:hint="eastAsia"/>
          <w:color w:val="auto"/>
          <w:shd w:val="clear" w:color="auto" w:fill="auto"/>
          <w:lang w:val="en-US" w:eastAsia="zh-CN"/>
        </w:rPr>
        <w:t>0</w:t>
      </w:r>
      <w:r>
        <w:rPr>
          <w:rFonts w:hint="eastAsia"/>
          <w:color w:val="auto"/>
          <w:shd w:val="clear" w:color="auto" w:fill="auto"/>
        </w:rPr>
        <w:t>万元，占</w:t>
      </w:r>
      <w:r>
        <w:rPr>
          <w:rFonts w:hint="eastAsia"/>
          <w:lang w:val="en-US" w:eastAsia="zh-CN"/>
        </w:rPr>
        <w:t>0</w:t>
      </w:r>
      <w:r>
        <w:rPr>
          <w:rFonts w:hint="eastAsia"/>
          <w:color w:val="auto"/>
          <w:shd w:val="clear" w:color="auto" w:fill="auto"/>
        </w:rPr>
        <w:t>%；事业收入</w:t>
      </w:r>
      <w:r>
        <w:rPr>
          <w:rFonts w:hint="eastAsia"/>
          <w:lang w:val="en-US" w:eastAsia="zh-CN"/>
        </w:rPr>
        <w:t>0</w:t>
      </w:r>
      <w:r>
        <w:rPr>
          <w:rFonts w:hint="eastAsia"/>
          <w:color w:val="auto"/>
          <w:shd w:val="clear" w:color="auto" w:fill="auto"/>
        </w:rPr>
        <w:t>万元，占</w:t>
      </w:r>
      <w:r>
        <w:rPr>
          <w:rFonts w:hint="eastAsia"/>
          <w:lang w:val="en-US" w:eastAsia="zh-CN"/>
        </w:rPr>
        <w:t>0</w:t>
      </w:r>
      <w:r>
        <w:rPr>
          <w:rFonts w:hint="eastAsia"/>
          <w:color w:val="auto"/>
          <w:shd w:val="clear" w:color="auto" w:fill="auto"/>
        </w:rPr>
        <w:t>%；经营收入</w:t>
      </w:r>
      <w:r>
        <w:rPr>
          <w:rFonts w:hint="eastAsia"/>
          <w:lang w:val="en-US" w:eastAsia="zh-CN"/>
        </w:rPr>
        <w:t>0</w:t>
      </w:r>
      <w:r>
        <w:rPr>
          <w:rFonts w:hint="eastAsia"/>
          <w:color w:val="auto"/>
          <w:shd w:val="clear" w:color="auto" w:fill="auto"/>
        </w:rPr>
        <w:t>万元，占</w:t>
      </w:r>
      <w:r>
        <w:rPr>
          <w:rFonts w:hint="eastAsia"/>
          <w:lang w:val="en-US" w:eastAsia="zh-CN"/>
        </w:rPr>
        <w:t>0</w:t>
      </w:r>
      <w:r>
        <w:rPr>
          <w:rFonts w:hint="eastAsia"/>
          <w:color w:val="auto"/>
          <w:shd w:val="clear" w:color="auto" w:fill="auto"/>
        </w:rPr>
        <w:t>%；附属单位上缴收入</w:t>
      </w:r>
      <w:r>
        <w:rPr>
          <w:rFonts w:hint="eastAsia"/>
          <w:lang w:val="en-US" w:eastAsia="zh-CN"/>
        </w:rPr>
        <w:t>0</w:t>
      </w:r>
      <w:r>
        <w:rPr>
          <w:rFonts w:hint="eastAsia"/>
          <w:color w:val="auto"/>
          <w:shd w:val="clear" w:color="auto" w:fill="auto"/>
        </w:rPr>
        <w:t>万元，占</w:t>
      </w:r>
      <w:r>
        <w:rPr>
          <w:rFonts w:hint="eastAsia"/>
          <w:lang w:val="en-US" w:eastAsia="zh-CN"/>
        </w:rPr>
        <w:t>0</w:t>
      </w:r>
      <w:r>
        <w:rPr>
          <w:rFonts w:hint="eastAsia"/>
          <w:color w:val="auto"/>
          <w:shd w:val="clear" w:color="auto" w:fill="auto"/>
        </w:rPr>
        <w:t>%。其他收入</w:t>
      </w:r>
      <w:r>
        <w:rPr>
          <w:rFonts w:hint="eastAsia"/>
          <w:lang w:val="en-US" w:eastAsia="zh-CN"/>
        </w:rPr>
        <w:t>41.78</w:t>
      </w:r>
      <w:r>
        <w:rPr>
          <w:rFonts w:hint="eastAsia"/>
          <w:color w:val="auto"/>
          <w:shd w:val="clear" w:color="auto" w:fill="auto"/>
        </w:rPr>
        <w:t>万元，占</w:t>
      </w:r>
      <w:r>
        <w:rPr>
          <w:rFonts w:hint="eastAsia"/>
          <w:lang w:val="en-US" w:eastAsia="zh-CN"/>
        </w:rPr>
        <w:t>4</w:t>
      </w:r>
      <w:r>
        <w:rPr>
          <w:rFonts w:hint="eastAsia"/>
          <w:color w:val="auto"/>
          <w:shd w:val="clear" w:color="auto" w:fill="auto"/>
        </w:rPr>
        <w:t>%。</w:t>
      </w:r>
    </w:p>
    <w:p>
      <w:pPr>
        <w:pStyle w:val="3"/>
        <w:shd w:val="clear"/>
        <w:spacing w:before="156" w:after="156"/>
        <w:rPr>
          <w:rFonts w:hint="eastAsia"/>
          <w:color w:val="auto"/>
          <w:shd w:val="clear" w:color="auto" w:fill="auto"/>
        </w:rPr>
      </w:pPr>
      <w:bookmarkStart w:id="100" w:name="_Toc21464_WPSOffice_Level2"/>
      <w:bookmarkStart w:id="101" w:name="_Toc23740_WPSOffice_Level2"/>
      <w:bookmarkStart w:id="102" w:name="_Toc22811"/>
      <w:bookmarkStart w:id="103" w:name="_Toc3792"/>
      <w:bookmarkStart w:id="104" w:name="_Toc7910_WPSOffice_Level2"/>
      <w:r>
        <w:rPr>
          <w:rFonts w:hint="eastAsia"/>
          <w:color w:val="auto"/>
          <w:shd w:val="clear" w:color="auto" w:fill="auto"/>
        </w:rPr>
        <w:t>三、2021年度支出决算情况说明</w:t>
      </w:r>
      <w:bookmarkEnd w:id="100"/>
      <w:bookmarkEnd w:id="101"/>
      <w:bookmarkEnd w:id="102"/>
      <w:bookmarkEnd w:id="103"/>
      <w:bookmarkEnd w:id="104"/>
    </w:p>
    <w:p>
      <w:pPr>
        <w:shd w:val="clear"/>
        <w:rPr>
          <w:rFonts w:hint="eastAsia" w:ascii="仿宋_GB2312"/>
          <w:color w:val="auto"/>
          <w:szCs w:val="30"/>
          <w:shd w:val="clear" w:color="auto" w:fill="auto"/>
        </w:rPr>
      </w:pPr>
      <w:r>
        <w:rPr>
          <w:rFonts w:hint="eastAsia" w:ascii="仿宋_GB2312"/>
          <w:color w:val="auto"/>
          <w:szCs w:val="30"/>
          <w:shd w:val="clear" w:color="auto" w:fill="auto"/>
        </w:rPr>
        <w:t xml:space="preserve">   本年支出合计</w:t>
      </w:r>
      <w:r>
        <w:rPr>
          <w:rFonts w:hint="eastAsia"/>
          <w:lang w:val="en-US" w:eastAsia="zh-CN"/>
        </w:rPr>
        <w:t>1008.71</w:t>
      </w:r>
      <w:r>
        <w:rPr>
          <w:rFonts w:hint="eastAsia" w:ascii="仿宋_GB2312" w:hAnsi="华文中宋"/>
          <w:color w:val="auto"/>
          <w:szCs w:val="30"/>
          <w:shd w:val="clear" w:color="auto" w:fill="auto"/>
        </w:rPr>
        <w:t>万元，其中：</w:t>
      </w:r>
      <w:r>
        <w:rPr>
          <w:rFonts w:hint="eastAsia" w:ascii="仿宋_GB2312"/>
          <w:color w:val="auto"/>
          <w:szCs w:val="30"/>
          <w:shd w:val="clear" w:color="auto" w:fill="auto"/>
        </w:rPr>
        <w:t>基本支出</w:t>
      </w:r>
      <w:r>
        <w:rPr>
          <w:rFonts w:hint="eastAsia"/>
          <w:lang w:val="en-US" w:eastAsia="zh-CN"/>
        </w:rPr>
        <w:t>985.01</w:t>
      </w:r>
      <w:r>
        <w:rPr>
          <w:rFonts w:hint="eastAsia" w:ascii="仿宋_GB2312"/>
          <w:color w:val="auto"/>
          <w:szCs w:val="30"/>
          <w:shd w:val="clear" w:color="auto" w:fill="auto"/>
        </w:rPr>
        <w:t>万元，占</w:t>
      </w:r>
      <w:r>
        <w:rPr>
          <w:rFonts w:hint="eastAsia"/>
          <w:lang w:val="en-US" w:eastAsia="zh-CN"/>
        </w:rPr>
        <w:t>98</w:t>
      </w:r>
      <w:r>
        <w:rPr>
          <w:rFonts w:hint="eastAsia" w:ascii="仿宋_GB2312"/>
          <w:color w:val="auto"/>
          <w:szCs w:val="30"/>
          <w:shd w:val="clear" w:color="auto" w:fill="auto"/>
        </w:rPr>
        <w:t>%;项目支出</w:t>
      </w:r>
      <w:r>
        <w:rPr>
          <w:rFonts w:hint="eastAsia"/>
        </w:rPr>
        <w:t xml:space="preserve"> </w:t>
      </w:r>
      <w:r>
        <w:rPr>
          <w:rFonts w:hint="eastAsia"/>
          <w:lang w:val="en-US" w:eastAsia="zh-CN"/>
        </w:rPr>
        <w:t>0</w:t>
      </w:r>
      <w:r>
        <w:rPr>
          <w:rFonts w:hint="eastAsia" w:ascii="仿宋_GB2312"/>
          <w:color w:val="auto"/>
          <w:szCs w:val="30"/>
          <w:shd w:val="clear" w:color="auto" w:fill="auto"/>
        </w:rPr>
        <w:t>万元，占</w:t>
      </w:r>
      <w:r>
        <w:rPr>
          <w:rFonts w:hint="eastAsia"/>
          <w:lang w:val="en-US" w:eastAsia="zh-CN"/>
        </w:rPr>
        <w:t>0</w:t>
      </w:r>
      <w:r>
        <w:rPr>
          <w:rFonts w:hint="eastAsia" w:ascii="仿宋_GB2312"/>
          <w:color w:val="auto"/>
          <w:szCs w:val="30"/>
          <w:shd w:val="clear" w:color="auto" w:fill="auto"/>
        </w:rPr>
        <w:t>%；上缴上级支出</w:t>
      </w:r>
      <w:r>
        <w:rPr>
          <w:rFonts w:hint="eastAsia"/>
        </w:rPr>
        <w:t xml:space="preserve"> </w:t>
      </w:r>
      <w:r>
        <w:rPr>
          <w:rFonts w:hint="eastAsia"/>
          <w:lang w:val="en-US" w:eastAsia="zh-CN"/>
        </w:rPr>
        <w:t>0</w:t>
      </w:r>
      <w:r>
        <w:rPr>
          <w:rFonts w:hint="eastAsia" w:ascii="仿宋_GB2312"/>
          <w:color w:val="auto"/>
          <w:szCs w:val="30"/>
          <w:shd w:val="clear" w:color="auto" w:fill="auto"/>
        </w:rPr>
        <w:t>万元，占</w:t>
      </w:r>
      <w:r>
        <w:rPr>
          <w:rFonts w:hint="eastAsia"/>
          <w:lang w:val="en-US" w:eastAsia="zh-CN"/>
        </w:rPr>
        <w:t>0</w:t>
      </w:r>
      <w:r>
        <w:rPr>
          <w:rFonts w:hint="eastAsia" w:ascii="仿宋_GB2312"/>
          <w:color w:val="auto"/>
          <w:szCs w:val="30"/>
          <w:shd w:val="clear" w:color="auto" w:fill="auto"/>
        </w:rPr>
        <w:t>%;经营支出</w:t>
      </w:r>
      <w:r>
        <w:rPr>
          <w:rFonts w:hint="eastAsia"/>
          <w:lang w:val="en-US" w:eastAsia="zh-CN"/>
        </w:rPr>
        <w:t>0</w:t>
      </w:r>
      <w:r>
        <w:rPr>
          <w:rFonts w:hint="eastAsia" w:ascii="仿宋_GB2312"/>
          <w:color w:val="auto"/>
          <w:szCs w:val="30"/>
          <w:shd w:val="clear" w:color="auto" w:fill="auto"/>
        </w:rPr>
        <w:t>万元，占</w:t>
      </w:r>
      <w:r>
        <w:rPr>
          <w:rFonts w:hint="eastAsia"/>
          <w:lang w:val="en-US" w:eastAsia="zh-CN"/>
        </w:rPr>
        <w:t>0</w:t>
      </w:r>
      <w:r>
        <w:rPr>
          <w:rFonts w:hint="eastAsia" w:ascii="仿宋_GB2312"/>
          <w:color w:val="auto"/>
          <w:szCs w:val="30"/>
          <w:shd w:val="clear" w:color="auto" w:fill="auto"/>
        </w:rPr>
        <w:t>%;对附属单位补助支出</w:t>
      </w:r>
      <w:r>
        <w:rPr>
          <w:rFonts w:hint="eastAsia"/>
        </w:rPr>
        <w:t xml:space="preserve"> </w:t>
      </w:r>
      <w:r>
        <w:rPr>
          <w:rFonts w:hint="eastAsia"/>
          <w:lang w:val="en-US" w:eastAsia="zh-CN"/>
        </w:rPr>
        <w:t>0</w:t>
      </w:r>
      <w:r>
        <w:rPr>
          <w:rFonts w:hint="eastAsia" w:ascii="仿宋_GB2312"/>
          <w:color w:val="auto"/>
          <w:szCs w:val="30"/>
          <w:shd w:val="clear" w:color="auto" w:fill="auto"/>
        </w:rPr>
        <w:t>万元，占</w:t>
      </w:r>
      <w:r>
        <w:rPr>
          <w:rFonts w:hint="eastAsia"/>
          <w:lang w:val="en-US" w:eastAsia="zh-CN"/>
        </w:rPr>
        <w:t>0</w:t>
      </w:r>
      <w:r>
        <w:rPr>
          <w:rFonts w:hint="eastAsia" w:ascii="仿宋_GB2312"/>
          <w:color w:val="auto"/>
          <w:szCs w:val="30"/>
          <w:shd w:val="clear" w:color="auto" w:fill="auto"/>
        </w:rPr>
        <w:t>%。</w:t>
      </w:r>
    </w:p>
    <w:p>
      <w:pPr>
        <w:pStyle w:val="3"/>
        <w:shd w:val="clear"/>
        <w:spacing w:before="156" w:after="156"/>
        <w:rPr>
          <w:rFonts w:hint="eastAsia"/>
          <w:color w:val="auto"/>
          <w:shd w:val="clear" w:color="auto" w:fill="auto"/>
        </w:rPr>
      </w:pPr>
      <w:bookmarkStart w:id="105" w:name="_Toc10649"/>
      <w:bookmarkStart w:id="106" w:name="_Toc22769"/>
      <w:bookmarkStart w:id="107" w:name="_Toc4312_WPSOffice_Level2"/>
      <w:bookmarkStart w:id="108" w:name="_Toc18454_WPSOffice_Level2"/>
      <w:bookmarkStart w:id="109" w:name="_Toc28642_WPSOffice_Level2"/>
      <w:r>
        <w:rPr>
          <w:rFonts w:hint="eastAsia"/>
          <w:color w:val="auto"/>
          <w:shd w:val="clear" w:color="auto" w:fill="auto"/>
        </w:rPr>
        <w:t>四、2021年度财政拨款收入支出决算总体情况说明</w:t>
      </w:r>
      <w:bookmarkEnd w:id="105"/>
      <w:bookmarkEnd w:id="106"/>
      <w:bookmarkEnd w:id="107"/>
      <w:bookmarkEnd w:id="108"/>
      <w:bookmarkEnd w:id="109"/>
    </w:p>
    <w:p>
      <w:pPr>
        <w:shd w:val="clear"/>
        <w:ind w:firstLine="600" w:firstLineChars="200"/>
        <w:rPr>
          <w:rFonts w:hint="eastAsia" w:ascii="仿宋_GB2312"/>
          <w:color w:val="auto"/>
          <w:szCs w:val="30"/>
          <w:shd w:val="clear" w:color="auto" w:fill="auto"/>
        </w:rPr>
      </w:pPr>
      <w:r>
        <w:rPr>
          <w:rFonts w:hint="eastAsia" w:ascii="仿宋_GB2312"/>
          <w:color w:val="auto"/>
          <w:szCs w:val="30"/>
          <w:shd w:val="clear" w:color="auto" w:fill="auto"/>
        </w:rPr>
        <w:t>2021年度财政拨款收、支总计</w:t>
      </w:r>
      <w:r>
        <w:rPr>
          <w:rFonts w:hint="eastAsia" w:ascii="仿宋_GB2312"/>
          <w:color w:val="auto"/>
          <w:szCs w:val="30"/>
          <w:shd w:val="clear" w:color="auto" w:fill="auto"/>
          <w:lang w:val="en-US" w:eastAsia="zh-CN"/>
        </w:rPr>
        <w:t>979.59</w:t>
      </w:r>
      <w:r>
        <w:rPr>
          <w:rFonts w:hint="eastAsia" w:ascii="仿宋_GB2312"/>
          <w:color w:val="auto"/>
          <w:szCs w:val="30"/>
          <w:shd w:val="clear" w:color="auto" w:fill="auto"/>
        </w:rPr>
        <w:t>万元，与2020年相比，减少</w:t>
      </w:r>
      <w:r>
        <w:rPr>
          <w:rFonts w:hint="eastAsia" w:ascii="仿宋_GB2312"/>
          <w:color w:val="auto"/>
          <w:szCs w:val="30"/>
          <w:shd w:val="clear" w:color="auto" w:fill="auto"/>
          <w:lang w:val="en-US" w:eastAsia="zh-CN"/>
        </w:rPr>
        <w:t>217.88</w:t>
      </w:r>
      <w:r>
        <w:rPr>
          <w:rFonts w:hint="eastAsia" w:ascii="仿宋_GB2312"/>
          <w:color w:val="auto"/>
          <w:szCs w:val="30"/>
          <w:shd w:val="clear" w:color="auto" w:fill="auto"/>
        </w:rPr>
        <w:t>万元，降低</w:t>
      </w:r>
      <w:r>
        <w:rPr>
          <w:rFonts w:hint="eastAsia" w:ascii="仿宋_GB2312"/>
          <w:color w:val="auto"/>
          <w:szCs w:val="30"/>
          <w:shd w:val="clear" w:color="auto" w:fill="auto"/>
          <w:lang w:val="en-US" w:eastAsia="zh-CN"/>
        </w:rPr>
        <w:t>19</w:t>
      </w:r>
      <w:r>
        <w:rPr>
          <w:rFonts w:hint="eastAsia" w:ascii="仿宋_GB2312"/>
          <w:color w:val="auto"/>
          <w:szCs w:val="30"/>
          <w:shd w:val="clear" w:color="auto" w:fill="auto"/>
        </w:rPr>
        <w:t xml:space="preserve">%，主要原因是本年支出有所下降。       </w:t>
      </w:r>
    </w:p>
    <w:p>
      <w:pPr>
        <w:pStyle w:val="3"/>
        <w:shd w:val="clear"/>
        <w:spacing w:before="156" w:after="156"/>
        <w:rPr>
          <w:rFonts w:hint="eastAsia"/>
          <w:color w:val="auto"/>
          <w:shd w:val="clear" w:color="auto" w:fill="auto"/>
        </w:rPr>
      </w:pPr>
      <w:bookmarkStart w:id="110" w:name="_Toc3457_WPSOffice_Level2"/>
      <w:bookmarkStart w:id="111" w:name="_Toc20033_WPSOffice_Level2"/>
      <w:bookmarkStart w:id="112" w:name="_Toc25413_WPSOffice_Level2"/>
      <w:bookmarkStart w:id="113" w:name="_Toc21051"/>
      <w:bookmarkStart w:id="114" w:name="_Toc22399"/>
      <w:r>
        <w:rPr>
          <w:rFonts w:hint="eastAsia"/>
          <w:color w:val="auto"/>
          <w:shd w:val="clear" w:color="auto" w:fill="auto"/>
        </w:rPr>
        <w:t>五、2021年度一般公共预算财政拨款支出决算情况说明</w:t>
      </w:r>
      <w:bookmarkEnd w:id="110"/>
      <w:bookmarkEnd w:id="111"/>
      <w:bookmarkEnd w:id="112"/>
      <w:bookmarkEnd w:id="113"/>
      <w:bookmarkEnd w:id="114"/>
    </w:p>
    <w:p>
      <w:pPr>
        <w:shd w:val="clear"/>
        <w:ind w:firstLine="600" w:firstLineChars="200"/>
        <w:outlineLvl w:val="2"/>
        <w:rPr>
          <w:rFonts w:hint="eastAsia" w:ascii="仿宋_GB2312"/>
          <w:color w:val="auto"/>
          <w:szCs w:val="30"/>
          <w:shd w:val="clear" w:color="auto" w:fill="auto"/>
        </w:rPr>
      </w:pPr>
      <w:bookmarkStart w:id="115" w:name="_Toc27184_WPSOffice_Level2"/>
      <w:bookmarkStart w:id="116" w:name="_Toc20026_WPSOffice_Level3"/>
      <w:r>
        <w:rPr>
          <w:rFonts w:hint="eastAsia" w:ascii="仿宋_GB2312"/>
          <w:color w:val="auto"/>
          <w:szCs w:val="30"/>
          <w:shd w:val="clear" w:color="auto" w:fill="auto"/>
        </w:rPr>
        <w:t>（一）一般公共预算财政拨款支出决算总体情况</w:t>
      </w:r>
      <w:bookmarkEnd w:id="115"/>
      <w:bookmarkEnd w:id="116"/>
    </w:p>
    <w:p>
      <w:pPr>
        <w:pStyle w:val="29"/>
        <w:shd w:val="clear"/>
        <w:ind w:firstLine="750" w:firstLineChars="250"/>
        <w:rPr>
          <w:rFonts w:hint="eastAsia" w:ascii="Times New Roman" w:hAnsi="Times New Roman" w:eastAsia="仿宋_GB2312" w:cs="Times New Roman"/>
          <w:color w:val="auto"/>
          <w:kern w:val="2"/>
          <w:sz w:val="30"/>
          <w:szCs w:val="24"/>
          <w:shd w:val="clear" w:color="auto" w:fill="auto"/>
          <w:lang w:val="en-US" w:eastAsia="zh-CN" w:bidi="ar-SA"/>
        </w:rPr>
      </w:pPr>
      <w:r>
        <w:rPr>
          <w:rFonts w:hint="eastAsia" w:ascii="Times New Roman" w:hAnsi="Times New Roman" w:eastAsia="仿宋_GB2312" w:cs="Times New Roman"/>
          <w:color w:val="auto"/>
          <w:kern w:val="2"/>
          <w:sz w:val="30"/>
          <w:szCs w:val="24"/>
          <w:shd w:val="clear" w:color="auto" w:fill="auto"/>
          <w:lang w:val="en-US" w:eastAsia="zh-CN" w:bidi="ar-SA"/>
        </w:rPr>
        <w:t>2021年度一般公共预算财政拨款支出966.93万元，占本年支出合计的96 %。与2020年相比，一般公共预算财政拨款支出减少170.19万元，或降低 15 %，主要原因是本年支出有所下降。</w:t>
      </w:r>
    </w:p>
    <w:p>
      <w:pPr>
        <w:shd w:val="clear"/>
        <w:ind w:firstLine="600" w:firstLineChars="200"/>
        <w:outlineLvl w:val="2"/>
        <w:rPr>
          <w:rFonts w:hint="eastAsia" w:ascii="Times New Roman" w:hAnsi="Times New Roman" w:eastAsia="仿宋_GB2312" w:cs="Times New Roman"/>
          <w:color w:val="auto"/>
          <w:kern w:val="2"/>
          <w:sz w:val="30"/>
          <w:szCs w:val="24"/>
          <w:shd w:val="clear" w:color="auto" w:fill="auto"/>
          <w:lang w:val="en-US" w:eastAsia="zh-CN" w:bidi="ar-SA"/>
        </w:rPr>
      </w:pPr>
      <w:bookmarkStart w:id="117" w:name="_Toc5638_WPSOffice_Level2"/>
      <w:bookmarkStart w:id="118" w:name="_Toc13023_WPSOffice_Level3"/>
      <w:r>
        <w:rPr>
          <w:rFonts w:hint="eastAsia" w:ascii="Times New Roman" w:hAnsi="Times New Roman" w:eastAsia="仿宋_GB2312" w:cs="Times New Roman"/>
          <w:color w:val="auto"/>
          <w:kern w:val="2"/>
          <w:sz w:val="30"/>
          <w:szCs w:val="24"/>
          <w:shd w:val="clear" w:color="auto" w:fill="auto"/>
          <w:lang w:val="en-US" w:eastAsia="zh-CN" w:bidi="ar-SA"/>
        </w:rPr>
        <w:t>（二）一般公共预算财政拨款支出决算结构情况</w:t>
      </w:r>
      <w:bookmarkEnd w:id="117"/>
      <w:bookmarkEnd w:id="118"/>
    </w:p>
    <w:p>
      <w:pPr>
        <w:pStyle w:val="29"/>
        <w:shd w:val="clear"/>
        <w:ind w:firstLine="600" w:firstLineChars="200"/>
        <w:rPr>
          <w:rFonts w:hint="eastAsia" w:ascii="仿宋_GB2312" w:eastAsia="仿宋_GB2312"/>
          <w:color w:val="auto"/>
          <w:szCs w:val="30"/>
          <w:shd w:val="clear" w:color="auto" w:fill="auto"/>
        </w:rPr>
      </w:pPr>
      <w:r>
        <w:rPr>
          <w:rFonts w:hint="eastAsia" w:ascii="Times New Roman" w:hAnsi="Times New Roman" w:eastAsia="仿宋_GB2312" w:cs="Times New Roman"/>
          <w:color w:val="auto"/>
          <w:kern w:val="2"/>
          <w:sz w:val="30"/>
          <w:szCs w:val="24"/>
          <w:shd w:val="clear" w:color="auto" w:fill="auto"/>
          <w:lang w:val="en-US" w:eastAsia="zh-CN" w:bidi="ar-SA"/>
        </w:rPr>
        <w:t>2021年度一般公共预算财政拨款支出主要用于以下方面：</w:t>
      </w:r>
      <w:r>
        <w:rPr>
          <w:rFonts w:ascii="仿宋_GB2312" w:eastAsia="仿宋_GB2312"/>
          <w:color w:val="auto"/>
          <w:szCs w:val="30"/>
          <w:shd w:val="clear" w:color="auto" w:fill="auto"/>
        </w:rPr>
        <w:t xml:space="preserve"> </w:t>
      </w:r>
    </w:p>
    <w:p>
      <w:pPr>
        <w:pStyle w:val="29"/>
        <w:shd w:val="clear"/>
        <w:ind w:firstLine="750" w:firstLineChars="250"/>
        <w:rPr>
          <w:rFonts w:hint="eastAsia" w:ascii="Times New Roman" w:hAnsi="Times New Roman" w:eastAsia="仿宋_GB2312" w:cs="Times New Roman"/>
          <w:color w:val="auto"/>
          <w:kern w:val="2"/>
          <w:sz w:val="30"/>
          <w:szCs w:val="24"/>
          <w:shd w:val="clear" w:color="auto" w:fill="auto"/>
          <w:lang w:val="en-US" w:eastAsia="zh-CN" w:bidi="ar-SA"/>
        </w:rPr>
      </w:pPr>
      <w:r>
        <w:rPr>
          <w:rFonts w:hint="eastAsia" w:ascii="Times New Roman" w:hAnsi="Times New Roman" w:eastAsia="仿宋_GB2312" w:cs="Times New Roman"/>
          <w:color w:val="auto"/>
          <w:kern w:val="2"/>
          <w:sz w:val="30"/>
          <w:szCs w:val="24"/>
          <w:shd w:val="clear" w:color="auto" w:fill="auto"/>
          <w:lang w:val="en-US" w:eastAsia="zh-CN" w:bidi="ar-SA"/>
        </w:rPr>
        <w:t>一般公共服务支出23.7万元，占3%；文化旅游体育与传媒支出767.58万元，占80%；社会保障和就业支出8.88万元，占1%；卫生健康支出56.57万元，占6%；住房保障支出110.19万元，占12%。</w:t>
      </w:r>
      <w:bookmarkStart w:id="119" w:name="_Toc4002_WPSOffice_Level2"/>
      <w:bookmarkStart w:id="120" w:name="_Toc28598_WPSOffice_Level3"/>
    </w:p>
    <w:p>
      <w:pPr>
        <w:pStyle w:val="29"/>
        <w:shd w:val="clear"/>
        <w:ind w:firstLine="750" w:firstLineChars="250"/>
        <w:rPr>
          <w:rFonts w:hint="eastAsia" w:ascii="Times New Roman" w:hAnsi="Times New Roman" w:eastAsia="仿宋_GB2312" w:cs="Times New Roman"/>
          <w:color w:val="auto"/>
          <w:kern w:val="2"/>
          <w:sz w:val="30"/>
          <w:szCs w:val="24"/>
          <w:shd w:val="clear" w:color="auto" w:fill="auto"/>
          <w:lang w:val="en-US" w:eastAsia="zh-CN" w:bidi="ar-SA"/>
        </w:rPr>
      </w:pPr>
      <w:r>
        <w:rPr>
          <w:rFonts w:hint="eastAsia" w:ascii="Times New Roman" w:hAnsi="Times New Roman" w:eastAsia="仿宋_GB2312" w:cs="Times New Roman"/>
          <w:color w:val="auto"/>
          <w:kern w:val="2"/>
          <w:sz w:val="30"/>
          <w:szCs w:val="24"/>
          <w:shd w:val="clear" w:color="auto" w:fill="auto"/>
          <w:lang w:val="en-US" w:eastAsia="zh-CN" w:bidi="ar-SA"/>
        </w:rPr>
        <w:t>（三）一般公共预算财政拨款支出决算具体情况</w:t>
      </w:r>
      <w:bookmarkEnd w:id="119"/>
      <w:bookmarkEnd w:id="120"/>
    </w:p>
    <w:p>
      <w:pPr>
        <w:pStyle w:val="29"/>
        <w:shd w:val="clear"/>
        <w:ind w:firstLine="750" w:firstLineChars="250"/>
        <w:rPr>
          <w:rFonts w:hint="eastAsia" w:ascii="Times New Roman" w:hAnsi="Times New Roman" w:eastAsia="仿宋_GB2312" w:cs="Times New Roman"/>
          <w:color w:val="auto"/>
          <w:kern w:val="2"/>
          <w:sz w:val="30"/>
          <w:szCs w:val="24"/>
          <w:shd w:val="clear" w:color="auto" w:fill="auto"/>
          <w:lang w:val="en-US" w:eastAsia="zh-CN" w:bidi="ar-SA"/>
        </w:rPr>
      </w:pPr>
      <w:r>
        <w:rPr>
          <w:rFonts w:hint="eastAsia" w:ascii="Times New Roman" w:hAnsi="Times New Roman" w:eastAsia="仿宋_GB2312" w:cs="Times New Roman"/>
          <w:color w:val="auto"/>
          <w:kern w:val="2"/>
          <w:sz w:val="30"/>
          <w:szCs w:val="24"/>
          <w:shd w:val="clear" w:color="auto" w:fill="auto"/>
          <w:lang w:val="en-US" w:eastAsia="zh-CN" w:bidi="ar-SA"/>
        </w:rPr>
        <w:t>2021年度一般公共预算财政拨款支出年初预算为979.59万元，支出决算为966.93万元，完成年初预算的99%。其中：</w:t>
      </w:r>
    </w:p>
    <w:p>
      <w:pPr>
        <w:pStyle w:val="29"/>
        <w:shd w:val="clear"/>
        <w:ind w:firstLine="750" w:firstLineChars="250"/>
        <w:rPr>
          <w:rFonts w:hint="eastAsia" w:ascii="Times New Roman" w:hAnsi="Times New Roman" w:eastAsia="仿宋_GB2312" w:cs="Times New Roman"/>
          <w:color w:val="auto"/>
          <w:kern w:val="2"/>
          <w:sz w:val="30"/>
          <w:szCs w:val="24"/>
          <w:shd w:val="clear" w:color="auto" w:fill="auto"/>
          <w:lang w:val="en-US" w:eastAsia="zh-CN" w:bidi="ar-SA"/>
        </w:rPr>
      </w:pPr>
      <w:r>
        <w:rPr>
          <w:rFonts w:hint="eastAsia" w:ascii="Times New Roman" w:hAnsi="Times New Roman" w:eastAsia="仿宋_GB2312" w:cs="Times New Roman"/>
          <w:color w:val="auto"/>
          <w:kern w:val="2"/>
          <w:sz w:val="30"/>
          <w:szCs w:val="24"/>
          <w:shd w:val="clear" w:color="auto" w:fill="auto"/>
          <w:lang w:val="en-US" w:eastAsia="zh-CN" w:bidi="ar-SA"/>
        </w:rPr>
        <w:t>1.一般公共服务支出（类）人大事务（款）行政运行（项）。年初预算为24.42万元，支出决算为23.7万元，完成年初预算的97%。决算数小于预算数的主要原因是在编人员离职。</w:t>
      </w:r>
    </w:p>
    <w:p>
      <w:pPr>
        <w:pStyle w:val="29"/>
        <w:shd w:val="clear"/>
        <w:ind w:firstLine="750" w:firstLineChars="250"/>
        <w:rPr>
          <w:rFonts w:hint="eastAsia" w:ascii="Times New Roman" w:hAnsi="Times New Roman" w:eastAsia="仿宋_GB2312" w:cs="Times New Roman"/>
          <w:color w:val="auto"/>
          <w:kern w:val="2"/>
          <w:sz w:val="30"/>
          <w:szCs w:val="24"/>
          <w:shd w:val="clear" w:color="auto" w:fill="auto"/>
          <w:lang w:val="en-US" w:eastAsia="zh-CN" w:bidi="ar-SA"/>
        </w:rPr>
      </w:pPr>
      <w:r>
        <w:rPr>
          <w:rFonts w:hint="eastAsia" w:ascii="Times New Roman" w:hAnsi="Times New Roman" w:eastAsia="仿宋_GB2312" w:cs="Times New Roman"/>
          <w:color w:val="auto"/>
          <w:kern w:val="2"/>
          <w:sz w:val="30"/>
          <w:szCs w:val="24"/>
          <w:shd w:val="clear" w:color="auto" w:fill="auto"/>
          <w:lang w:val="en-US" w:eastAsia="zh-CN" w:bidi="ar-SA"/>
        </w:rPr>
        <w:t>2.文化旅游体育与传媒支出（类）新闻出版电影（款）出版发行（项）。年初预算为774.57万元，支出决算为767.58万元，完成年初预算的99%。决算数小于预算数的主要原因是在编人员离职。</w:t>
      </w:r>
    </w:p>
    <w:p>
      <w:pPr>
        <w:pStyle w:val="29"/>
        <w:shd w:val="clear"/>
        <w:ind w:firstLine="750" w:firstLineChars="250"/>
        <w:rPr>
          <w:rFonts w:hint="eastAsia" w:ascii="Times New Roman" w:hAnsi="Times New Roman" w:eastAsia="仿宋_GB2312" w:cs="Times New Roman"/>
          <w:color w:val="auto"/>
          <w:kern w:val="2"/>
          <w:sz w:val="30"/>
          <w:szCs w:val="24"/>
          <w:shd w:val="clear" w:color="auto" w:fill="auto"/>
          <w:lang w:val="en-US" w:eastAsia="zh-CN" w:bidi="ar-SA"/>
        </w:rPr>
      </w:pPr>
      <w:r>
        <w:rPr>
          <w:rFonts w:hint="eastAsia" w:ascii="Times New Roman" w:hAnsi="Times New Roman" w:eastAsia="仿宋_GB2312" w:cs="Times New Roman"/>
          <w:color w:val="auto"/>
          <w:kern w:val="2"/>
          <w:sz w:val="30"/>
          <w:szCs w:val="24"/>
          <w:shd w:val="clear" w:color="auto" w:fill="auto"/>
          <w:lang w:val="en-US" w:eastAsia="zh-CN" w:bidi="ar-SA"/>
        </w:rPr>
        <w:t>3.社会保障和就业支出（类）其他社会保障和就业支出（款）其他社会保障和就业支出（项）。年初预算为8.88万元，支出决算为8.88万元，完成年初预算的100%。决算数等于预算数。</w:t>
      </w:r>
    </w:p>
    <w:p>
      <w:pPr>
        <w:pStyle w:val="29"/>
        <w:shd w:val="clear"/>
        <w:ind w:firstLine="750" w:firstLineChars="250"/>
        <w:rPr>
          <w:rFonts w:hint="eastAsia" w:ascii="Times New Roman" w:hAnsi="Times New Roman" w:eastAsia="仿宋_GB2312" w:cs="Times New Roman"/>
          <w:color w:val="auto"/>
          <w:kern w:val="2"/>
          <w:sz w:val="30"/>
          <w:szCs w:val="24"/>
          <w:shd w:val="clear" w:color="auto" w:fill="auto"/>
          <w:lang w:val="en-US" w:eastAsia="zh-CN" w:bidi="ar-SA"/>
        </w:rPr>
      </w:pPr>
      <w:r>
        <w:rPr>
          <w:rFonts w:hint="eastAsia" w:ascii="Times New Roman" w:hAnsi="Times New Roman" w:eastAsia="仿宋_GB2312" w:cs="Times New Roman"/>
          <w:color w:val="auto"/>
          <w:kern w:val="2"/>
          <w:sz w:val="30"/>
          <w:szCs w:val="24"/>
          <w:shd w:val="clear" w:color="auto" w:fill="auto"/>
          <w:lang w:val="en-US" w:eastAsia="zh-CN" w:bidi="ar-SA"/>
        </w:rPr>
        <w:t>4.卫生健康支出（类）行政事业单位医疗（款）事业单位医疗（项）。年初预算为35.73万元，支出决算为35.73万元，完成年初预算的100%。决算数等于预算数。</w:t>
      </w:r>
    </w:p>
    <w:p>
      <w:pPr>
        <w:pStyle w:val="29"/>
        <w:shd w:val="clear"/>
        <w:ind w:firstLine="750" w:firstLineChars="250"/>
        <w:rPr>
          <w:rFonts w:hint="eastAsia" w:ascii="Times New Roman" w:hAnsi="Times New Roman" w:eastAsia="仿宋_GB2312" w:cs="Times New Roman"/>
          <w:color w:val="auto"/>
          <w:kern w:val="2"/>
          <w:sz w:val="30"/>
          <w:szCs w:val="24"/>
          <w:shd w:val="clear" w:color="auto" w:fill="auto"/>
          <w:lang w:val="en-US" w:eastAsia="zh-CN" w:bidi="ar-SA"/>
        </w:rPr>
      </w:pPr>
      <w:r>
        <w:rPr>
          <w:rFonts w:hint="eastAsia" w:ascii="Times New Roman" w:hAnsi="Times New Roman" w:eastAsia="仿宋_GB2312" w:cs="Times New Roman"/>
          <w:color w:val="auto"/>
          <w:kern w:val="2"/>
          <w:sz w:val="30"/>
          <w:szCs w:val="24"/>
          <w:shd w:val="clear" w:color="auto" w:fill="auto"/>
          <w:lang w:val="en-US" w:eastAsia="zh-CN" w:bidi="ar-SA"/>
        </w:rPr>
        <w:t>5.卫生健康支出（类）行政事业单位医疗（款）公务员医疗补助（款）。年初预算为20.84万元，支出决算为20.84万元，完成年初预算的100%。决算数等于预算数。</w:t>
      </w:r>
    </w:p>
    <w:p>
      <w:pPr>
        <w:pStyle w:val="29"/>
        <w:shd w:val="clear"/>
        <w:ind w:firstLine="750" w:firstLineChars="250"/>
        <w:rPr>
          <w:rFonts w:hint="default" w:ascii="Times New Roman" w:hAnsi="Times New Roman" w:eastAsia="仿宋_GB2312" w:cs="Times New Roman"/>
          <w:color w:val="auto"/>
          <w:kern w:val="2"/>
          <w:sz w:val="30"/>
          <w:szCs w:val="24"/>
          <w:shd w:val="clear" w:color="auto" w:fill="auto"/>
          <w:lang w:val="en-US" w:eastAsia="zh-CN" w:bidi="ar-SA"/>
        </w:rPr>
      </w:pPr>
      <w:r>
        <w:rPr>
          <w:rFonts w:hint="eastAsia" w:ascii="Times New Roman" w:hAnsi="Times New Roman" w:eastAsia="仿宋_GB2312" w:cs="Times New Roman"/>
          <w:color w:val="auto"/>
          <w:kern w:val="2"/>
          <w:sz w:val="30"/>
          <w:szCs w:val="24"/>
          <w:shd w:val="clear" w:color="auto" w:fill="auto"/>
          <w:lang w:val="en-US" w:eastAsia="zh-CN" w:bidi="ar-SA"/>
        </w:rPr>
        <w:t>6.住房保障支出（类）住房改革支出（款）住房公积金（项）。年初预算为115.14万元，支出决算为110.19万元，完成年初预算的96%。决算数小于预算数的主要原因是在编人员离职。</w:t>
      </w:r>
    </w:p>
    <w:p>
      <w:pPr>
        <w:pStyle w:val="3"/>
        <w:shd w:val="clear"/>
        <w:spacing w:before="156" w:after="156"/>
        <w:rPr>
          <w:rFonts w:hint="eastAsia"/>
          <w:color w:val="auto"/>
          <w:shd w:val="clear" w:color="auto" w:fill="auto"/>
        </w:rPr>
      </w:pPr>
      <w:bookmarkStart w:id="121" w:name="_Toc3855"/>
      <w:bookmarkStart w:id="122" w:name="_Toc5855_WPSOffice_Level2"/>
      <w:bookmarkStart w:id="123" w:name="_Toc1717_WPSOffice_Level2"/>
      <w:bookmarkStart w:id="124" w:name="_Toc19344"/>
      <w:bookmarkStart w:id="125" w:name="_Toc6991_WPSOffice_Level2"/>
      <w:r>
        <w:rPr>
          <w:rFonts w:hint="eastAsia"/>
          <w:color w:val="auto"/>
          <w:shd w:val="clear" w:color="auto" w:fill="auto"/>
        </w:rPr>
        <w:t>六、2021年度一般公共预算财政拨款基本支出决算情况说明</w:t>
      </w:r>
      <w:bookmarkEnd w:id="121"/>
      <w:bookmarkEnd w:id="122"/>
      <w:bookmarkEnd w:id="123"/>
      <w:bookmarkEnd w:id="124"/>
      <w:bookmarkEnd w:id="125"/>
    </w:p>
    <w:p>
      <w:pPr>
        <w:pStyle w:val="29"/>
        <w:shd w:val="clear"/>
        <w:ind w:firstLine="750" w:firstLineChars="250"/>
        <w:rPr>
          <w:rFonts w:hint="eastAsia" w:ascii="Times New Roman" w:hAnsi="Times New Roman" w:eastAsia="仿宋_GB2312" w:cs="Times New Roman"/>
          <w:color w:val="auto"/>
          <w:kern w:val="2"/>
          <w:sz w:val="30"/>
          <w:szCs w:val="24"/>
          <w:shd w:val="clear" w:color="auto" w:fill="auto"/>
          <w:lang w:val="en-US" w:eastAsia="zh-CN" w:bidi="ar-SA"/>
        </w:rPr>
      </w:pPr>
      <w:r>
        <w:rPr>
          <w:rFonts w:hint="eastAsia" w:ascii="Times New Roman" w:hAnsi="Times New Roman" w:eastAsia="仿宋_GB2312" w:cs="Times New Roman"/>
          <w:color w:val="auto"/>
          <w:kern w:val="2"/>
          <w:sz w:val="30"/>
          <w:szCs w:val="24"/>
          <w:shd w:val="clear" w:color="auto" w:fill="auto"/>
          <w:lang w:val="en-US" w:eastAsia="zh-CN" w:bidi="ar-SA"/>
        </w:rPr>
        <w:t>2021年度一般公共预算财政拨款基本支出970.25万元，用于保障机构正常运转完成日常工作任务的支出。其中：人员经费957.05万元，主要包括基本工资、津贴补贴、离退休费、 机关事业单位基本养老保险缴费、职业年金缴费、职工基本医疗保险缴费、公务员医疗补助缴费、其他社会保障缴费、住房公积金、其他对个人和家庭的补助；公用经费27.96万元，主要包括办公费、差旅费、培训费、劳务费、工会经费、其他商品和服务支出。</w:t>
      </w:r>
    </w:p>
    <w:p>
      <w:pPr>
        <w:pStyle w:val="3"/>
        <w:shd w:val="clear"/>
        <w:spacing w:before="156" w:after="156"/>
        <w:rPr>
          <w:rFonts w:hint="eastAsia"/>
          <w:color w:val="auto"/>
          <w:shd w:val="clear" w:color="auto" w:fill="auto"/>
        </w:rPr>
      </w:pPr>
      <w:bookmarkStart w:id="126" w:name="_Toc3926"/>
      <w:bookmarkStart w:id="127" w:name="_Toc19161_WPSOffice_Level2"/>
      <w:bookmarkStart w:id="128" w:name="_Toc19143_WPSOffice_Level2"/>
      <w:bookmarkStart w:id="129" w:name="_Toc8799"/>
      <w:bookmarkStart w:id="130" w:name="_Toc22364_WPSOffice_Level2"/>
      <w:r>
        <w:rPr>
          <w:rFonts w:hint="eastAsia"/>
          <w:color w:val="auto"/>
          <w:shd w:val="clear" w:color="auto" w:fill="auto"/>
        </w:rPr>
        <w:t>七、2021年度一般公共预算财政拨款“三公”经费支出决算情况说明</w:t>
      </w:r>
      <w:bookmarkEnd w:id="126"/>
      <w:bookmarkEnd w:id="127"/>
      <w:bookmarkEnd w:id="128"/>
      <w:bookmarkEnd w:id="129"/>
      <w:bookmarkEnd w:id="130"/>
    </w:p>
    <w:p>
      <w:pPr>
        <w:shd w:val="clear"/>
        <w:autoSpaceDE w:val="0"/>
        <w:autoSpaceDN w:val="0"/>
        <w:adjustRightInd w:val="0"/>
        <w:ind w:firstLine="600" w:firstLineChars="200"/>
        <w:rPr>
          <w:rFonts w:hint="eastAsia" w:ascii="仿宋_GB2312"/>
          <w:color w:val="auto"/>
          <w:szCs w:val="30"/>
          <w:highlight w:val="yellow"/>
          <w:shd w:val="clear" w:color="auto" w:fill="auto"/>
        </w:rPr>
      </w:pPr>
      <w:r>
        <w:rPr>
          <w:rFonts w:hint="eastAsia" w:ascii="仿宋_GB2312"/>
          <w:color w:val="auto"/>
          <w:szCs w:val="30"/>
          <w:shd w:val="clear" w:color="auto" w:fill="auto"/>
        </w:rPr>
        <w:t>（一）“三公”经费财政拨款支出决算总体情况说明</w:t>
      </w:r>
    </w:p>
    <w:p>
      <w:pPr>
        <w:shd w:val="clear"/>
        <w:autoSpaceDE w:val="0"/>
        <w:autoSpaceDN w:val="0"/>
        <w:adjustRightInd w:val="0"/>
        <w:ind w:firstLine="600" w:firstLineChars="200"/>
        <w:rPr>
          <w:rFonts w:hint="eastAsia" w:ascii="仿宋_GB2312"/>
          <w:color w:val="auto"/>
          <w:szCs w:val="30"/>
          <w:shd w:val="clear" w:color="auto" w:fill="auto"/>
        </w:rPr>
      </w:pPr>
      <w:r>
        <w:rPr>
          <w:rFonts w:hint="eastAsia" w:ascii="仿宋_GB2312"/>
          <w:color w:val="auto"/>
          <w:szCs w:val="30"/>
          <w:shd w:val="clear" w:color="auto" w:fill="auto"/>
        </w:rPr>
        <w:t>2021年度“三公”经费财政拨款支出预算为</w:t>
      </w:r>
      <w:r>
        <w:rPr>
          <w:rFonts w:hint="eastAsia"/>
          <w:lang w:val="en-US" w:eastAsia="zh-CN"/>
        </w:rPr>
        <w:t>0</w:t>
      </w:r>
      <w:r>
        <w:rPr>
          <w:rFonts w:hint="eastAsia" w:ascii="仿宋_GB2312"/>
          <w:color w:val="auto"/>
          <w:szCs w:val="30"/>
          <w:shd w:val="clear" w:color="auto" w:fill="auto"/>
        </w:rPr>
        <w:t>万元，支出决算为</w:t>
      </w:r>
      <w:r>
        <w:rPr>
          <w:rFonts w:hint="eastAsia"/>
          <w:lang w:val="en-US" w:eastAsia="zh-CN"/>
        </w:rPr>
        <w:t>0</w:t>
      </w:r>
      <w:r>
        <w:rPr>
          <w:rFonts w:hint="eastAsia" w:ascii="仿宋_GB2312"/>
          <w:color w:val="auto"/>
          <w:szCs w:val="30"/>
          <w:shd w:val="clear" w:color="auto" w:fill="auto"/>
        </w:rPr>
        <w:t>万元，完成预算的</w:t>
      </w:r>
      <w:r>
        <w:rPr>
          <w:rFonts w:hint="eastAsia"/>
          <w:lang w:val="en-US" w:eastAsia="zh-CN"/>
        </w:rPr>
        <w:t>0</w:t>
      </w:r>
      <w:r>
        <w:rPr>
          <w:rFonts w:hint="eastAsia" w:ascii="仿宋_GB2312"/>
          <w:color w:val="auto"/>
          <w:szCs w:val="30"/>
          <w:shd w:val="clear" w:color="auto" w:fill="auto"/>
        </w:rPr>
        <w:t>%，</w:t>
      </w:r>
      <w:r>
        <w:rPr>
          <w:rFonts w:hint="eastAsia" w:ascii="仿宋_GB2312"/>
          <w:color w:val="auto"/>
          <w:szCs w:val="30"/>
          <w:shd w:val="clear" w:color="auto" w:fill="auto"/>
          <w:lang w:eastAsia="zh-CN"/>
        </w:rPr>
        <w:t>本年和上年均无收入预算，也无相应支出预算</w:t>
      </w:r>
      <w:r>
        <w:rPr>
          <w:rFonts w:hint="eastAsia" w:ascii="仿宋_GB2312"/>
          <w:color w:val="auto"/>
          <w:szCs w:val="30"/>
          <w:shd w:val="clear" w:color="auto" w:fill="auto"/>
        </w:rPr>
        <w:t>。与2020年相比</w:t>
      </w:r>
      <w:r>
        <w:rPr>
          <w:rFonts w:hint="eastAsia" w:ascii="仿宋_GB2312"/>
          <w:color w:val="auto"/>
          <w:szCs w:val="30"/>
          <w:shd w:val="clear" w:color="auto" w:fill="auto"/>
          <w:lang w:eastAsia="zh-CN"/>
        </w:rPr>
        <w:t>无变化，主要原因是无</w:t>
      </w:r>
      <w:r>
        <w:rPr>
          <w:rFonts w:hint="eastAsia" w:ascii="仿宋_GB2312"/>
          <w:color w:val="auto"/>
          <w:szCs w:val="30"/>
          <w:shd w:val="clear" w:color="auto" w:fill="auto"/>
        </w:rPr>
        <w:t>。</w:t>
      </w:r>
      <w:r>
        <w:rPr>
          <w:rFonts w:hint="eastAsia" w:ascii="仿宋_GB2312"/>
          <w:color w:val="auto"/>
          <w:szCs w:val="30"/>
          <w:shd w:val="clear" w:color="auto" w:fill="auto"/>
        </w:rPr>
        <w:tab/>
      </w:r>
    </w:p>
    <w:p>
      <w:pPr>
        <w:shd w:val="clear"/>
        <w:autoSpaceDE w:val="0"/>
        <w:autoSpaceDN w:val="0"/>
        <w:adjustRightInd w:val="0"/>
        <w:ind w:firstLine="600" w:firstLineChars="200"/>
        <w:rPr>
          <w:rFonts w:hint="eastAsia"/>
          <w:color w:val="auto"/>
          <w:shd w:val="clear" w:color="auto" w:fill="auto"/>
        </w:rPr>
      </w:pPr>
      <w:r>
        <w:rPr>
          <w:rFonts w:hint="eastAsia"/>
          <w:color w:val="auto"/>
          <w:shd w:val="clear" w:color="auto" w:fill="auto"/>
        </w:rPr>
        <w:t>（二）“三公”经费财政拨款支出决算具体情况说明</w:t>
      </w:r>
    </w:p>
    <w:p>
      <w:pPr>
        <w:shd w:val="clear"/>
        <w:autoSpaceDE w:val="0"/>
        <w:autoSpaceDN w:val="0"/>
        <w:adjustRightInd w:val="0"/>
        <w:ind w:firstLine="600"/>
        <w:rPr>
          <w:rFonts w:hint="eastAsia" w:ascii="仿宋_GB2312"/>
          <w:color w:val="auto"/>
          <w:szCs w:val="30"/>
          <w:shd w:val="clear" w:color="auto" w:fill="auto"/>
        </w:rPr>
      </w:pPr>
      <w:r>
        <w:rPr>
          <w:rFonts w:hint="eastAsia" w:ascii="仿宋_GB2312"/>
          <w:color w:val="auto"/>
          <w:szCs w:val="30"/>
          <w:shd w:val="clear" w:color="auto" w:fill="auto"/>
        </w:rPr>
        <w:t>2021年度“三公”经费财政拨款支出决算</w:t>
      </w:r>
      <w:r>
        <w:rPr>
          <w:rFonts w:hint="eastAsia"/>
          <w:lang w:val="en-US" w:eastAsia="zh-CN"/>
        </w:rPr>
        <w:t>0</w:t>
      </w:r>
      <w:r>
        <w:rPr>
          <w:rFonts w:hint="eastAsia" w:ascii="仿宋_GB2312"/>
          <w:color w:val="auto"/>
          <w:szCs w:val="30"/>
          <w:shd w:val="clear" w:color="auto" w:fill="auto"/>
        </w:rPr>
        <w:t>万元。其中因公出国（境）费支出决算</w:t>
      </w:r>
      <w:r>
        <w:rPr>
          <w:rFonts w:hint="eastAsia"/>
          <w:lang w:val="en-US" w:eastAsia="zh-CN"/>
        </w:rPr>
        <w:t>0</w:t>
      </w:r>
      <w:r>
        <w:rPr>
          <w:rFonts w:hint="eastAsia" w:ascii="仿宋_GB2312"/>
          <w:color w:val="auto"/>
          <w:szCs w:val="30"/>
          <w:shd w:val="clear" w:color="auto" w:fill="auto"/>
        </w:rPr>
        <w:t>万元，占</w:t>
      </w:r>
      <w:r>
        <w:rPr>
          <w:rFonts w:hint="eastAsia"/>
          <w:lang w:val="en-US" w:eastAsia="zh-CN"/>
        </w:rPr>
        <w:t>0</w:t>
      </w:r>
      <w:r>
        <w:rPr>
          <w:rFonts w:hint="eastAsia" w:ascii="仿宋_GB2312"/>
          <w:color w:val="auto"/>
          <w:szCs w:val="30"/>
          <w:shd w:val="clear" w:color="auto" w:fill="auto"/>
        </w:rPr>
        <w:t>%；公务用车购置及运行维护费支出决算</w:t>
      </w:r>
      <w:r>
        <w:rPr>
          <w:rFonts w:hint="eastAsia"/>
          <w:lang w:val="en-US" w:eastAsia="zh-CN"/>
        </w:rPr>
        <w:t>0</w:t>
      </w:r>
      <w:r>
        <w:rPr>
          <w:rFonts w:hint="eastAsia" w:ascii="仿宋_GB2312"/>
          <w:color w:val="auto"/>
          <w:szCs w:val="30"/>
          <w:shd w:val="clear" w:color="auto" w:fill="auto"/>
        </w:rPr>
        <w:t>万元，占</w:t>
      </w:r>
      <w:r>
        <w:rPr>
          <w:rFonts w:hint="eastAsia"/>
          <w:lang w:val="en-US" w:eastAsia="zh-CN"/>
        </w:rPr>
        <w:t>0</w:t>
      </w:r>
      <w:r>
        <w:rPr>
          <w:rFonts w:hint="eastAsia" w:ascii="仿宋_GB2312"/>
          <w:color w:val="auto"/>
          <w:szCs w:val="30"/>
          <w:shd w:val="clear" w:color="auto" w:fill="auto"/>
        </w:rPr>
        <w:t>%；公务接待费支出决算</w:t>
      </w:r>
      <w:r>
        <w:rPr>
          <w:rFonts w:hint="eastAsia"/>
          <w:lang w:val="en-US" w:eastAsia="zh-CN"/>
        </w:rPr>
        <w:t>0</w:t>
      </w:r>
      <w:r>
        <w:rPr>
          <w:rFonts w:hint="eastAsia" w:ascii="仿宋_GB2312"/>
          <w:color w:val="auto"/>
          <w:szCs w:val="30"/>
          <w:shd w:val="clear" w:color="auto" w:fill="auto"/>
        </w:rPr>
        <w:t>万元，占</w:t>
      </w:r>
      <w:r>
        <w:rPr>
          <w:rFonts w:hint="eastAsia"/>
          <w:lang w:val="en-US" w:eastAsia="zh-CN"/>
        </w:rPr>
        <w:t>0</w:t>
      </w:r>
      <w:r>
        <w:rPr>
          <w:rFonts w:hint="eastAsia" w:ascii="仿宋_GB2312"/>
          <w:color w:val="auto"/>
          <w:szCs w:val="30"/>
          <w:shd w:val="clear" w:color="auto" w:fill="auto"/>
        </w:rPr>
        <w:t>%。具体情况如下：</w:t>
      </w:r>
    </w:p>
    <w:p>
      <w:pPr>
        <w:shd w:val="clear"/>
        <w:autoSpaceDE w:val="0"/>
        <w:autoSpaceDN w:val="0"/>
        <w:adjustRightInd w:val="0"/>
        <w:ind w:firstLine="600" w:firstLineChars="200"/>
        <w:rPr>
          <w:rFonts w:hint="eastAsia" w:ascii="仿宋_GB2312" w:eastAsia="仿宋_GB2312"/>
          <w:color w:val="auto"/>
          <w:szCs w:val="30"/>
          <w:shd w:val="clear" w:color="auto" w:fill="auto"/>
          <w:lang w:eastAsia="zh-CN"/>
        </w:rPr>
      </w:pPr>
      <w:r>
        <w:rPr>
          <w:rFonts w:hint="eastAsia" w:ascii="仿宋_GB2312"/>
          <w:color w:val="auto"/>
          <w:szCs w:val="30"/>
          <w:shd w:val="clear" w:color="auto" w:fill="auto"/>
        </w:rPr>
        <w:t>1.</w:t>
      </w:r>
      <w:r>
        <w:rPr>
          <w:rFonts w:hint="eastAsia" w:ascii="仿宋_GB2312"/>
          <w:b/>
          <w:bCs/>
          <w:color w:val="auto"/>
          <w:szCs w:val="30"/>
          <w:shd w:val="clear" w:color="auto" w:fill="auto"/>
        </w:rPr>
        <w:t>因公出国（境）费</w:t>
      </w:r>
      <w:r>
        <w:rPr>
          <w:rFonts w:hint="eastAsia" w:ascii="仿宋_GB2312"/>
          <w:color w:val="auto"/>
          <w:szCs w:val="30"/>
          <w:shd w:val="clear" w:color="auto" w:fill="auto"/>
        </w:rPr>
        <w:t>年初预算为</w:t>
      </w:r>
      <w:r>
        <w:rPr>
          <w:rFonts w:hint="eastAsia"/>
          <w:lang w:val="en-US" w:eastAsia="zh-CN"/>
        </w:rPr>
        <w:t>0</w:t>
      </w:r>
      <w:r>
        <w:rPr>
          <w:rFonts w:hint="eastAsia" w:ascii="仿宋_GB2312"/>
          <w:color w:val="auto"/>
          <w:szCs w:val="30"/>
          <w:shd w:val="clear" w:color="auto" w:fill="auto"/>
        </w:rPr>
        <w:t>万元，支出决算为</w:t>
      </w:r>
      <w:r>
        <w:rPr>
          <w:rFonts w:hint="eastAsia"/>
          <w:lang w:val="en-US" w:eastAsia="zh-CN"/>
        </w:rPr>
        <w:t>0</w:t>
      </w:r>
      <w:r>
        <w:rPr>
          <w:rFonts w:hint="eastAsia" w:ascii="仿宋_GB2312"/>
          <w:color w:val="auto"/>
          <w:szCs w:val="30"/>
          <w:shd w:val="clear" w:color="auto" w:fill="auto"/>
        </w:rPr>
        <w:t>万元，完成年初预算的</w:t>
      </w:r>
      <w:r>
        <w:rPr>
          <w:rFonts w:hint="eastAsia" w:ascii="仿宋_GB2312"/>
          <w:color w:val="auto"/>
          <w:szCs w:val="30"/>
          <w:shd w:val="clear" w:color="auto" w:fill="auto"/>
          <w:lang w:val="en-US" w:eastAsia="zh-CN"/>
        </w:rPr>
        <w:t>0</w:t>
      </w:r>
      <w:r>
        <w:rPr>
          <w:rFonts w:hint="eastAsia" w:ascii="仿宋_GB2312"/>
          <w:color w:val="auto"/>
          <w:szCs w:val="30"/>
          <w:shd w:val="clear" w:color="auto" w:fill="auto"/>
        </w:rPr>
        <w:t>%，</w:t>
      </w:r>
      <w:r>
        <w:rPr>
          <w:rFonts w:hint="eastAsia" w:ascii="仿宋_GB2312"/>
          <w:color w:val="auto"/>
          <w:szCs w:val="30"/>
          <w:shd w:val="clear" w:color="auto" w:fill="auto"/>
          <w:lang w:eastAsia="zh-CN"/>
        </w:rPr>
        <w:t>本年和上年均无收入预算，也无相应支出预算</w:t>
      </w:r>
      <w:r>
        <w:rPr>
          <w:rFonts w:hint="eastAsia" w:ascii="仿宋_GB2312"/>
          <w:color w:val="auto"/>
          <w:szCs w:val="30"/>
          <w:shd w:val="clear" w:color="auto" w:fill="auto"/>
        </w:rPr>
        <w:t>。单位全年使用一般公共预算财政拨款安排的出国（境）团组</w:t>
      </w:r>
      <w:r>
        <w:rPr>
          <w:rFonts w:hint="eastAsia" w:ascii="仿宋_GB2312"/>
          <w:color w:val="auto"/>
          <w:szCs w:val="30"/>
          <w:shd w:val="clear" w:color="auto" w:fill="auto"/>
          <w:lang w:val="en-US" w:eastAsia="zh-CN"/>
        </w:rPr>
        <w:t>0</w:t>
      </w:r>
      <w:r>
        <w:rPr>
          <w:rFonts w:hint="eastAsia" w:ascii="仿宋_GB2312"/>
          <w:color w:val="auto"/>
          <w:szCs w:val="30"/>
          <w:shd w:val="clear" w:color="auto" w:fill="auto"/>
        </w:rPr>
        <w:t>个，累计</w:t>
      </w:r>
      <w:r>
        <w:rPr>
          <w:rFonts w:hint="eastAsia" w:ascii="仿宋_GB2312"/>
          <w:color w:val="auto"/>
          <w:szCs w:val="30"/>
          <w:shd w:val="clear" w:color="auto" w:fill="auto"/>
          <w:lang w:val="en-US" w:eastAsia="zh-CN"/>
        </w:rPr>
        <w:t>0</w:t>
      </w:r>
      <w:r>
        <w:rPr>
          <w:rFonts w:hint="eastAsia" w:ascii="仿宋_GB2312"/>
          <w:color w:val="auto"/>
          <w:szCs w:val="30"/>
          <w:shd w:val="clear" w:color="auto" w:fill="auto"/>
        </w:rPr>
        <w:t>人次。开支内容包括</w:t>
      </w:r>
      <w:r>
        <w:rPr>
          <w:rFonts w:hint="eastAsia" w:ascii="仿宋_GB2312"/>
          <w:color w:val="auto"/>
          <w:szCs w:val="30"/>
          <w:shd w:val="clear" w:color="auto" w:fill="auto"/>
          <w:lang w:eastAsia="zh-CN"/>
        </w:rPr>
        <w:t>：无</w:t>
      </w:r>
    </w:p>
    <w:p>
      <w:pPr>
        <w:shd w:val="clear"/>
        <w:autoSpaceDE w:val="0"/>
        <w:autoSpaceDN w:val="0"/>
        <w:adjustRightInd w:val="0"/>
        <w:ind w:firstLine="602" w:firstLineChars="200"/>
        <w:rPr>
          <w:rFonts w:hint="eastAsia" w:ascii="仿宋_GB2312"/>
          <w:color w:val="auto"/>
          <w:szCs w:val="30"/>
          <w:shd w:val="clear" w:color="auto" w:fill="auto"/>
        </w:rPr>
      </w:pPr>
      <w:r>
        <w:rPr>
          <w:rFonts w:hint="eastAsia" w:ascii="仿宋_GB2312"/>
          <w:b/>
          <w:bCs/>
          <w:color w:val="auto"/>
          <w:szCs w:val="30"/>
          <w:shd w:val="clear" w:color="auto" w:fill="auto"/>
        </w:rPr>
        <w:t>2.公务用车购置及运行维护费</w:t>
      </w:r>
      <w:r>
        <w:rPr>
          <w:rFonts w:hint="eastAsia" w:ascii="仿宋_GB2312"/>
          <w:color w:val="auto"/>
          <w:szCs w:val="30"/>
          <w:shd w:val="clear" w:color="auto" w:fill="auto"/>
        </w:rPr>
        <w:t>年初预算为</w:t>
      </w:r>
      <w:r>
        <w:rPr>
          <w:rFonts w:hint="eastAsia"/>
          <w:lang w:val="en-US" w:eastAsia="zh-CN"/>
        </w:rPr>
        <w:t>0</w:t>
      </w:r>
      <w:r>
        <w:rPr>
          <w:rFonts w:hint="eastAsia" w:ascii="仿宋_GB2312"/>
          <w:color w:val="auto"/>
          <w:szCs w:val="30"/>
          <w:shd w:val="clear" w:color="auto" w:fill="auto"/>
        </w:rPr>
        <w:t>万元，支出决算为</w:t>
      </w:r>
      <w:r>
        <w:rPr>
          <w:rFonts w:hint="eastAsia"/>
          <w:lang w:val="en-US" w:eastAsia="zh-CN"/>
        </w:rPr>
        <w:t>0</w:t>
      </w:r>
      <w:r>
        <w:rPr>
          <w:rFonts w:hint="eastAsia" w:ascii="仿宋_GB2312"/>
          <w:color w:val="auto"/>
          <w:szCs w:val="30"/>
          <w:shd w:val="clear" w:color="auto" w:fill="auto"/>
        </w:rPr>
        <w:t>万元，完成年初预算的</w:t>
      </w:r>
      <w:r>
        <w:rPr>
          <w:rFonts w:hint="eastAsia"/>
          <w:lang w:val="en-US" w:eastAsia="zh-CN"/>
        </w:rPr>
        <w:t>0</w:t>
      </w:r>
      <w:r>
        <w:rPr>
          <w:rFonts w:hint="eastAsia" w:ascii="仿宋_GB2312"/>
          <w:color w:val="auto"/>
          <w:szCs w:val="30"/>
          <w:shd w:val="clear" w:color="auto" w:fill="auto"/>
        </w:rPr>
        <w:t>%，</w:t>
      </w:r>
      <w:r>
        <w:rPr>
          <w:rFonts w:hint="eastAsia" w:ascii="仿宋_GB2312"/>
          <w:color w:val="auto"/>
          <w:szCs w:val="30"/>
          <w:shd w:val="clear" w:color="auto" w:fill="auto"/>
          <w:lang w:eastAsia="zh-CN"/>
        </w:rPr>
        <w:t>本年和上年均无收入预算，也无相应支出预算</w:t>
      </w:r>
      <w:r>
        <w:rPr>
          <w:rFonts w:hint="eastAsia" w:ascii="仿宋_GB2312"/>
          <w:color w:val="auto"/>
          <w:szCs w:val="30"/>
          <w:shd w:val="clear" w:color="auto" w:fill="auto"/>
        </w:rPr>
        <w:t>。公务用车购置及运行维护费与2020年相比</w:t>
      </w:r>
      <w:r>
        <w:rPr>
          <w:rFonts w:hint="eastAsia"/>
          <w:lang w:eastAsia="zh-CN"/>
        </w:rPr>
        <w:t>无变化，</w:t>
      </w:r>
      <w:r>
        <w:rPr>
          <w:rFonts w:hint="eastAsia" w:ascii="仿宋_GB2312"/>
          <w:color w:val="auto"/>
          <w:szCs w:val="30"/>
          <w:shd w:val="clear" w:color="auto" w:fill="auto"/>
        </w:rPr>
        <w:t>主要原因是</w:t>
      </w:r>
      <w:r>
        <w:rPr>
          <w:rFonts w:hint="eastAsia"/>
          <w:lang w:eastAsia="zh-CN"/>
        </w:rPr>
        <w:t>无</w:t>
      </w:r>
      <w:r>
        <w:rPr>
          <w:rFonts w:hint="eastAsia" w:ascii="仿宋_GB2312"/>
          <w:color w:val="auto"/>
          <w:szCs w:val="30"/>
          <w:shd w:val="clear" w:color="auto" w:fill="auto"/>
        </w:rPr>
        <w:t>。</w:t>
      </w:r>
    </w:p>
    <w:p>
      <w:pPr>
        <w:shd w:val="clear"/>
        <w:autoSpaceDE w:val="0"/>
        <w:autoSpaceDN w:val="0"/>
        <w:adjustRightInd w:val="0"/>
        <w:ind w:firstLine="600" w:firstLineChars="200"/>
        <w:rPr>
          <w:rFonts w:hint="eastAsia" w:ascii="仿宋_GB2312"/>
          <w:color w:val="auto"/>
          <w:szCs w:val="30"/>
          <w:shd w:val="clear" w:color="auto" w:fill="auto"/>
        </w:rPr>
      </w:pPr>
      <w:r>
        <w:rPr>
          <w:rFonts w:hint="eastAsia" w:ascii="仿宋_GB2312"/>
          <w:color w:val="auto"/>
          <w:szCs w:val="30"/>
          <w:shd w:val="clear" w:color="auto" w:fill="auto"/>
        </w:rPr>
        <w:t>其中：公务用车购置</w:t>
      </w:r>
      <w:r>
        <w:rPr>
          <w:rFonts w:hint="eastAsia"/>
          <w:lang w:val="en-US" w:eastAsia="zh-CN"/>
        </w:rPr>
        <w:t>0</w:t>
      </w:r>
      <w:r>
        <w:rPr>
          <w:rFonts w:hint="eastAsia" w:ascii="仿宋_GB2312"/>
          <w:color w:val="auto"/>
          <w:szCs w:val="30"/>
          <w:shd w:val="clear" w:color="auto" w:fill="auto"/>
        </w:rPr>
        <w:t>万元，购置公务车</w:t>
      </w:r>
      <w:r>
        <w:rPr>
          <w:rFonts w:hint="eastAsia"/>
          <w:lang w:val="en-US" w:eastAsia="zh-CN"/>
        </w:rPr>
        <w:t>0</w:t>
      </w:r>
      <w:r>
        <w:rPr>
          <w:rFonts w:hint="eastAsia" w:ascii="仿宋_GB2312"/>
          <w:color w:val="auto"/>
          <w:szCs w:val="30"/>
          <w:shd w:val="clear" w:color="auto" w:fill="auto"/>
        </w:rPr>
        <w:t>台，购置原因为</w:t>
      </w:r>
      <w:r>
        <w:rPr>
          <w:rFonts w:hint="eastAsia"/>
          <w:lang w:eastAsia="zh-CN"/>
        </w:rPr>
        <w:t>无</w:t>
      </w:r>
      <w:r>
        <w:rPr>
          <w:rFonts w:hint="eastAsia" w:ascii="仿宋_GB2312"/>
          <w:color w:val="auto"/>
          <w:szCs w:val="30"/>
          <w:shd w:val="clear" w:color="auto" w:fill="auto"/>
        </w:rPr>
        <w:t>；公务用车运行维护费</w:t>
      </w:r>
      <w:r>
        <w:rPr>
          <w:rFonts w:hint="eastAsia"/>
          <w:lang w:val="en-US" w:eastAsia="zh-CN"/>
        </w:rPr>
        <w:t>0</w:t>
      </w:r>
      <w:r>
        <w:rPr>
          <w:rFonts w:hint="eastAsia" w:ascii="仿宋_GB2312"/>
          <w:color w:val="auto"/>
          <w:szCs w:val="30"/>
          <w:shd w:val="clear" w:color="auto" w:fill="auto"/>
        </w:rPr>
        <w:t>万元。截至2021年12月31日，单位财政拨款开支的公务用车保有量为</w:t>
      </w:r>
      <w:r>
        <w:rPr>
          <w:rFonts w:hint="eastAsia"/>
          <w:lang w:val="en-US" w:eastAsia="zh-CN"/>
        </w:rPr>
        <w:t>0</w:t>
      </w:r>
      <w:r>
        <w:rPr>
          <w:rFonts w:hint="eastAsia" w:ascii="仿宋_GB2312"/>
          <w:color w:val="auto"/>
          <w:szCs w:val="30"/>
          <w:shd w:val="clear" w:color="auto" w:fill="auto"/>
        </w:rPr>
        <w:t>辆。</w:t>
      </w:r>
    </w:p>
    <w:p>
      <w:pPr>
        <w:shd w:val="clear"/>
        <w:autoSpaceDE w:val="0"/>
        <w:autoSpaceDN w:val="0"/>
        <w:adjustRightInd w:val="0"/>
        <w:ind w:firstLine="602" w:firstLineChars="200"/>
        <w:rPr>
          <w:rFonts w:hint="eastAsia" w:ascii="仿宋_GB2312"/>
          <w:color w:val="auto"/>
          <w:szCs w:val="30"/>
          <w:shd w:val="clear" w:color="auto" w:fill="auto"/>
        </w:rPr>
      </w:pPr>
      <w:r>
        <w:rPr>
          <w:rFonts w:hint="eastAsia" w:ascii="仿宋_GB2312"/>
          <w:b/>
          <w:bCs/>
          <w:color w:val="auto"/>
          <w:szCs w:val="30"/>
          <w:shd w:val="clear" w:color="auto" w:fill="auto"/>
        </w:rPr>
        <w:t>3.公务接待费</w:t>
      </w:r>
      <w:r>
        <w:rPr>
          <w:rFonts w:hint="eastAsia" w:ascii="仿宋_GB2312"/>
          <w:color w:val="auto"/>
          <w:szCs w:val="30"/>
          <w:shd w:val="clear" w:color="auto" w:fill="auto"/>
        </w:rPr>
        <w:t>年初预算为</w:t>
      </w:r>
      <w:r>
        <w:rPr>
          <w:rFonts w:hint="eastAsia"/>
          <w:lang w:val="en-US" w:eastAsia="zh-CN"/>
        </w:rPr>
        <w:t>0</w:t>
      </w:r>
      <w:r>
        <w:rPr>
          <w:rFonts w:hint="eastAsia" w:ascii="仿宋_GB2312"/>
          <w:color w:val="auto"/>
          <w:szCs w:val="30"/>
          <w:shd w:val="clear" w:color="auto" w:fill="auto"/>
        </w:rPr>
        <w:t>万元，支出决算为</w:t>
      </w:r>
      <w:r>
        <w:rPr>
          <w:rFonts w:hint="eastAsia"/>
          <w:lang w:val="en-US" w:eastAsia="zh-CN"/>
        </w:rPr>
        <w:t>0</w:t>
      </w:r>
      <w:r>
        <w:rPr>
          <w:rFonts w:hint="eastAsia" w:ascii="仿宋_GB2312"/>
          <w:color w:val="auto"/>
          <w:szCs w:val="30"/>
          <w:shd w:val="clear" w:color="auto" w:fill="auto"/>
        </w:rPr>
        <w:t>万元，完成年初预算的</w:t>
      </w:r>
      <w:r>
        <w:rPr>
          <w:rFonts w:hint="eastAsia"/>
          <w:lang w:val="en-US" w:eastAsia="zh-CN"/>
        </w:rPr>
        <w:t>0</w:t>
      </w:r>
      <w:r>
        <w:rPr>
          <w:rFonts w:hint="eastAsia" w:ascii="仿宋_GB2312"/>
          <w:color w:val="auto"/>
          <w:szCs w:val="30"/>
          <w:shd w:val="clear" w:color="auto" w:fill="auto"/>
        </w:rPr>
        <w:t>%，</w:t>
      </w:r>
      <w:r>
        <w:rPr>
          <w:rFonts w:hint="eastAsia" w:ascii="仿宋_GB2312"/>
          <w:color w:val="auto"/>
          <w:szCs w:val="30"/>
          <w:shd w:val="clear" w:color="auto" w:fill="auto"/>
          <w:lang w:eastAsia="zh-CN"/>
        </w:rPr>
        <w:t>本年和上年均无收入预算，也无相应支出预算</w:t>
      </w:r>
      <w:r>
        <w:rPr>
          <w:rFonts w:hint="eastAsia" w:ascii="仿宋_GB2312"/>
          <w:color w:val="auto"/>
          <w:szCs w:val="30"/>
          <w:shd w:val="clear" w:color="auto" w:fill="auto"/>
        </w:rPr>
        <w:t>。公务接待费与2020年相比</w:t>
      </w:r>
      <w:r>
        <w:rPr>
          <w:rFonts w:hint="eastAsia"/>
          <w:lang w:eastAsia="zh-CN"/>
        </w:rPr>
        <w:t>无变化，</w:t>
      </w:r>
      <w:r>
        <w:rPr>
          <w:rFonts w:hint="eastAsia" w:ascii="仿宋_GB2312"/>
          <w:color w:val="auto"/>
          <w:szCs w:val="30"/>
          <w:shd w:val="clear" w:color="auto" w:fill="auto"/>
        </w:rPr>
        <w:t>主要原因是</w:t>
      </w:r>
      <w:r>
        <w:rPr>
          <w:rFonts w:hint="eastAsia"/>
          <w:lang w:eastAsia="zh-CN"/>
        </w:rPr>
        <w:t>无</w:t>
      </w:r>
      <w:r>
        <w:rPr>
          <w:rFonts w:hint="eastAsia" w:ascii="仿宋_GB2312"/>
          <w:color w:val="auto"/>
          <w:szCs w:val="30"/>
          <w:shd w:val="clear" w:color="auto" w:fill="auto"/>
        </w:rPr>
        <w:t>。2021年国内公务接待</w:t>
      </w:r>
      <w:r>
        <w:rPr>
          <w:rFonts w:hint="eastAsia"/>
          <w:lang w:val="en-US" w:eastAsia="zh-CN"/>
        </w:rPr>
        <w:t>0</w:t>
      </w:r>
      <w:r>
        <w:rPr>
          <w:rFonts w:hint="eastAsia" w:ascii="仿宋_GB2312"/>
          <w:color w:val="auto"/>
          <w:szCs w:val="30"/>
          <w:shd w:val="clear" w:color="auto" w:fill="auto"/>
        </w:rPr>
        <w:t>批次，</w:t>
      </w:r>
      <w:r>
        <w:rPr>
          <w:rFonts w:hint="eastAsia"/>
          <w:lang w:val="en-US" w:eastAsia="zh-CN"/>
        </w:rPr>
        <w:t>0</w:t>
      </w:r>
      <w:r>
        <w:rPr>
          <w:rFonts w:hint="eastAsia" w:ascii="仿宋_GB2312"/>
          <w:color w:val="auto"/>
          <w:szCs w:val="30"/>
          <w:shd w:val="clear" w:color="auto" w:fill="auto"/>
        </w:rPr>
        <w:t>人次，支出</w:t>
      </w:r>
      <w:r>
        <w:rPr>
          <w:rFonts w:hint="eastAsia"/>
          <w:lang w:val="en-US" w:eastAsia="zh-CN"/>
        </w:rPr>
        <w:t>0</w:t>
      </w:r>
      <w:r>
        <w:rPr>
          <w:rFonts w:hint="eastAsia" w:ascii="仿宋_GB2312"/>
          <w:color w:val="auto"/>
          <w:szCs w:val="30"/>
          <w:shd w:val="clear" w:color="auto" w:fill="auto"/>
        </w:rPr>
        <w:t>万元，其中：外事接待费接待</w:t>
      </w:r>
      <w:r>
        <w:rPr>
          <w:rFonts w:hint="eastAsia"/>
          <w:lang w:val="en-US" w:eastAsia="zh-CN"/>
        </w:rPr>
        <w:t>0</w:t>
      </w:r>
      <w:r>
        <w:rPr>
          <w:rFonts w:hint="eastAsia" w:ascii="仿宋_GB2312"/>
          <w:color w:val="auto"/>
          <w:szCs w:val="30"/>
          <w:shd w:val="clear" w:color="auto" w:fill="auto"/>
        </w:rPr>
        <w:t>批次，</w:t>
      </w:r>
      <w:r>
        <w:rPr>
          <w:rFonts w:hint="eastAsia"/>
          <w:lang w:val="en-US" w:eastAsia="zh-CN"/>
        </w:rPr>
        <w:t>0</w:t>
      </w:r>
      <w:r>
        <w:rPr>
          <w:rFonts w:hint="eastAsia" w:ascii="仿宋_GB2312"/>
          <w:color w:val="auto"/>
          <w:szCs w:val="30"/>
          <w:shd w:val="clear" w:color="auto" w:fill="auto"/>
        </w:rPr>
        <w:t>人次，支出</w:t>
      </w:r>
      <w:r>
        <w:rPr>
          <w:rFonts w:hint="eastAsia"/>
          <w:lang w:val="en-US" w:eastAsia="zh-CN"/>
        </w:rPr>
        <w:t>0</w:t>
      </w:r>
      <w:r>
        <w:rPr>
          <w:rFonts w:hint="eastAsia" w:ascii="仿宋_GB2312"/>
          <w:color w:val="auto"/>
          <w:szCs w:val="30"/>
          <w:shd w:val="clear" w:color="auto" w:fill="auto"/>
        </w:rPr>
        <w:t>万元；其他国内公务接待费</w:t>
      </w:r>
      <w:r>
        <w:rPr>
          <w:rFonts w:hint="eastAsia"/>
          <w:lang w:val="en-US" w:eastAsia="zh-CN"/>
        </w:rPr>
        <w:t>0</w:t>
      </w:r>
      <w:r>
        <w:rPr>
          <w:rFonts w:hint="eastAsia" w:ascii="仿宋_GB2312"/>
          <w:color w:val="auto"/>
          <w:szCs w:val="30"/>
          <w:shd w:val="clear" w:color="auto" w:fill="auto"/>
        </w:rPr>
        <w:t>批次，</w:t>
      </w:r>
      <w:r>
        <w:rPr>
          <w:rFonts w:hint="eastAsia"/>
          <w:lang w:val="en-US" w:eastAsia="zh-CN"/>
        </w:rPr>
        <w:t>0</w:t>
      </w:r>
      <w:r>
        <w:rPr>
          <w:rFonts w:hint="eastAsia" w:ascii="仿宋_GB2312"/>
          <w:color w:val="auto"/>
          <w:szCs w:val="30"/>
          <w:shd w:val="clear" w:color="auto" w:fill="auto"/>
        </w:rPr>
        <w:t>人次，支出</w:t>
      </w:r>
      <w:r>
        <w:rPr>
          <w:rFonts w:hint="eastAsia"/>
          <w:lang w:val="en-US" w:eastAsia="zh-CN"/>
        </w:rPr>
        <w:t>0</w:t>
      </w:r>
      <w:r>
        <w:rPr>
          <w:rFonts w:hint="eastAsia" w:ascii="仿宋_GB2312"/>
          <w:color w:val="auto"/>
          <w:szCs w:val="30"/>
          <w:shd w:val="clear" w:color="auto" w:fill="auto"/>
        </w:rPr>
        <w:t>万元。</w:t>
      </w:r>
    </w:p>
    <w:p>
      <w:pPr>
        <w:pStyle w:val="3"/>
        <w:shd w:val="clear"/>
        <w:spacing w:before="156" w:after="156"/>
        <w:rPr>
          <w:rFonts w:hint="eastAsia"/>
          <w:color w:val="auto"/>
          <w:shd w:val="clear" w:color="auto" w:fill="auto"/>
        </w:rPr>
      </w:pPr>
      <w:bookmarkStart w:id="131" w:name="_Toc9906_WPSOffice_Level2"/>
      <w:bookmarkStart w:id="132" w:name="_Toc23339_WPSOffice_Level2"/>
      <w:bookmarkStart w:id="133" w:name="_Toc15970"/>
      <w:bookmarkStart w:id="134" w:name="_Toc6901_WPSOffice_Level2"/>
      <w:bookmarkStart w:id="135" w:name="_Toc6508"/>
      <w:r>
        <w:rPr>
          <w:rFonts w:hint="eastAsia"/>
          <w:color w:val="auto"/>
          <w:shd w:val="clear" w:color="auto" w:fill="auto"/>
        </w:rPr>
        <w:t>八、2021年度政府性基金预算财政拨款收入支出决算情况说明</w:t>
      </w:r>
      <w:bookmarkEnd w:id="131"/>
      <w:bookmarkEnd w:id="132"/>
      <w:bookmarkEnd w:id="133"/>
      <w:bookmarkEnd w:id="134"/>
      <w:bookmarkEnd w:id="135"/>
    </w:p>
    <w:p>
      <w:pPr>
        <w:shd w:val="clear"/>
        <w:autoSpaceDE w:val="0"/>
        <w:autoSpaceDN w:val="0"/>
        <w:adjustRightInd w:val="0"/>
        <w:ind w:firstLine="600" w:firstLineChars="200"/>
        <w:rPr>
          <w:rFonts w:hint="eastAsia" w:ascii="仿宋_GB2312"/>
          <w:color w:val="auto"/>
          <w:szCs w:val="30"/>
          <w:shd w:val="clear" w:color="auto" w:fill="auto"/>
        </w:rPr>
      </w:pPr>
      <w:r>
        <w:rPr>
          <w:rFonts w:hint="eastAsia" w:ascii="仿宋_GB2312" w:hAnsi="华文中宋"/>
          <w:color w:val="auto"/>
          <w:szCs w:val="30"/>
          <w:shd w:val="clear" w:color="auto" w:fill="auto"/>
          <w:lang w:val="en-US" w:eastAsia="zh-CN"/>
        </w:rPr>
        <w:t xml:space="preserve"> </w:t>
      </w:r>
      <w:r>
        <w:rPr>
          <w:rFonts w:hint="eastAsia" w:ascii="仿宋_GB2312" w:hAnsi="华文中宋"/>
          <w:color w:val="auto"/>
          <w:szCs w:val="30"/>
          <w:shd w:val="clear" w:color="auto" w:fill="auto"/>
        </w:rPr>
        <w:t>2021年度政府性基金预算财政拨款收入决算总额为</w:t>
      </w:r>
      <w:r>
        <w:rPr>
          <w:rFonts w:hint="eastAsia"/>
          <w:lang w:val="en-US" w:eastAsia="zh-CN"/>
        </w:rPr>
        <w:t>0</w:t>
      </w:r>
      <w:r>
        <w:rPr>
          <w:rFonts w:hint="eastAsia" w:ascii="仿宋_GB2312"/>
          <w:color w:val="auto"/>
          <w:szCs w:val="30"/>
          <w:shd w:val="clear" w:color="auto" w:fill="auto"/>
        </w:rPr>
        <w:t>万</w:t>
      </w:r>
      <w:r>
        <w:rPr>
          <w:rFonts w:hint="eastAsia" w:ascii="仿宋_GB2312" w:hAnsi="华文中宋"/>
          <w:color w:val="auto"/>
          <w:szCs w:val="30"/>
          <w:shd w:val="clear" w:color="auto" w:fill="auto"/>
        </w:rPr>
        <w:t>元，</w:t>
      </w:r>
      <w:r>
        <w:rPr>
          <w:rFonts w:hint="eastAsia" w:ascii="仿宋_GB2312"/>
          <w:color w:val="auto"/>
          <w:szCs w:val="30"/>
          <w:shd w:val="clear" w:color="auto" w:fill="auto"/>
        </w:rPr>
        <w:t>与2020年相比</w:t>
      </w:r>
      <w:r>
        <w:rPr>
          <w:rFonts w:hint="eastAsia" w:ascii="仿宋_GB2312"/>
          <w:color w:val="auto"/>
          <w:szCs w:val="30"/>
          <w:shd w:val="clear" w:color="auto" w:fill="auto"/>
          <w:lang w:eastAsia="zh-CN"/>
        </w:rPr>
        <w:t>无变化。</w:t>
      </w:r>
    </w:p>
    <w:p>
      <w:pPr>
        <w:pStyle w:val="3"/>
        <w:shd w:val="clear"/>
        <w:spacing w:before="156" w:after="156"/>
        <w:rPr>
          <w:rFonts w:hint="eastAsia"/>
          <w:color w:val="auto"/>
          <w:shd w:val="clear" w:color="auto" w:fill="auto"/>
        </w:rPr>
      </w:pPr>
      <w:bookmarkStart w:id="136" w:name="_Toc26410_WPSOffice_Level2"/>
      <w:bookmarkStart w:id="137" w:name="_Toc24126_WPSOffice_Level2"/>
      <w:bookmarkStart w:id="138" w:name="_Toc14011_WPSOffice_Level2"/>
      <w:bookmarkStart w:id="139" w:name="_Toc7348"/>
      <w:bookmarkStart w:id="140" w:name="_Toc3292"/>
      <w:r>
        <w:rPr>
          <w:rFonts w:hint="eastAsia"/>
          <w:color w:val="auto"/>
          <w:shd w:val="clear" w:color="auto" w:fill="auto"/>
        </w:rPr>
        <w:t>九、2021年度国有资本经营预算财政拨款收入支出决算情况说明</w:t>
      </w:r>
      <w:bookmarkEnd w:id="136"/>
      <w:bookmarkEnd w:id="137"/>
      <w:bookmarkEnd w:id="138"/>
      <w:bookmarkEnd w:id="139"/>
      <w:bookmarkEnd w:id="140"/>
    </w:p>
    <w:p>
      <w:pPr>
        <w:shd w:val="clear"/>
        <w:autoSpaceDE w:val="0"/>
        <w:autoSpaceDN w:val="0"/>
        <w:adjustRightInd w:val="0"/>
        <w:ind w:firstLine="600" w:firstLineChars="200"/>
        <w:rPr>
          <w:rFonts w:hint="eastAsia" w:ascii="仿宋_GB2312"/>
          <w:color w:val="auto"/>
          <w:szCs w:val="30"/>
          <w:shd w:val="clear" w:color="auto" w:fill="auto"/>
        </w:rPr>
      </w:pPr>
      <w:r>
        <w:rPr>
          <w:rFonts w:hint="eastAsia" w:ascii="仿宋_GB2312"/>
          <w:color w:val="auto"/>
          <w:szCs w:val="30"/>
          <w:shd w:val="clear" w:color="auto" w:fill="auto"/>
          <w:lang w:val="en-US" w:eastAsia="zh-CN"/>
        </w:rPr>
        <w:t xml:space="preserve"> </w:t>
      </w:r>
      <w:r>
        <w:rPr>
          <w:rFonts w:hint="eastAsia" w:ascii="仿宋_GB2312"/>
          <w:color w:val="auto"/>
          <w:szCs w:val="30"/>
          <w:shd w:val="clear" w:color="auto" w:fill="auto"/>
        </w:rPr>
        <w:t>2021年度国有资本经营预算财政拨款收入决算总额为</w:t>
      </w:r>
      <w:r>
        <w:rPr>
          <w:rFonts w:hint="eastAsia" w:ascii="仿宋_GB2312"/>
          <w:color w:val="auto"/>
          <w:szCs w:val="30"/>
          <w:shd w:val="clear" w:color="auto" w:fill="auto"/>
          <w:lang w:val="en-US" w:eastAsia="zh-CN"/>
        </w:rPr>
        <w:t>0</w:t>
      </w:r>
      <w:r>
        <w:rPr>
          <w:rFonts w:hint="eastAsia" w:ascii="仿宋_GB2312"/>
          <w:color w:val="auto"/>
          <w:szCs w:val="30"/>
          <w:shd w:val="clear" w:color="auto" w:fill="auto"/>
        </w:rPr>
        <w:t>万元，与2020年相比</w:t>
      </w:r>
      <w:r>
        <w:rPr>
          <w:rFonts w:hint="eastAsia" w:ascii="仿宋_GB2312"/>
          <w:color w:val="auto"/>
          <w:szCs w:val="30"/>
          <w:shd w:val="clear" w:color="auto" w:fill="auto"/>
          <w:lang w:eastAsia="zh-CN"/>
        </w:rPr>
        <w:t>无变化。</w:t>
      </w:r>
    </w:p>
    <w:p>
      <w:pPr>
        <w:pStyle w:val="3"/>
        <w:shd w:val="clear"/>
        <w:spacing w:before="156" w:after="156"/>
        <w:rPr>
          <w:rFonts w:hint="eastAsia"/>
          <w:color w:val="auto"/>
          <w:shd w:val="clear" w:color="auto" w:fill="auto"/>
        </w:rPr>
      </w:pPr>
      <w:bookmarkStart w:id="141" w:name="_Toc28569"/>
      <w:bookmarkStart w:id="142" w:name="_Toc9764"/>
      <w:bookmarkStart w:id="143" w:name="_Toc2812_WPSOffice_Level2"/>
      <w:bookmarkStart w:id="144" w:name="_Toc19107_WPSOffice_Level2"/>
      <w:bookmarkStart w:id="145" w:name="_Toc20599_WPSOffice_Level2"/>
      <w:r>
        <w:rPr>
          <w:rFonts w:hint="eastAsia"/>
          <w:color w:val="auto"/>
          <w:shd w:val="clear" w:color="auto" w:fill="auto"/>
        </w:rPr>
        <w:t>十、2021年度非财政拨款收支决算情况说明</w:t>
      </w:r>
      <w:bookmarkEnd w:id="141"/>
      <w:bookmarkEnd w:id="142"/>
      <w:bookmarkEnd w:id="143"/>
      <w:bookmarkEnd w:id="144"/>
      <w:bookmarkEnd w:id="145"/>
    </w:p>
    <w:p>
      <w:pPr>
        <w:shd w:val="clear"/>
        <w:autoSpaceDE w:val="0"/>
        <w:autoSpaceDN w:val="0"/>
        <w:adjustRightInd w:val="0"/>
        <w:ind w:firstLine="600" w:firstLineChars="200"/>
        <w:rPr>
          <w:rFonts w:hint="eastAsia" w:ascii="仿宋_GB2312" w:eastAsia="仿宋_GB2312"/>
          <w:color w:val="auto"/>
          <w:szCs w:val="30"/>
          <w:shd w:val="clear" w:color="auto" w:fill="auto"/>
          <w:lang w:val="en-US" w:eastAsia="zh-CN"/>
        </w:rPr>
      </w:pPr>
      <w:r>
        <w:rPr>
          <w:rFonts w:hint="eastAsia" w:ascii="仿宋_GB2312"/>
          <w:color w:val="auto"/>
          <w:szCs w:val="30"/>
          <w:shd w:val="clear" w:color="auto" w:fill="auto"/>
        </w:rPr>
        <w:t>2021年度非财政拨款收入决算总额</w:t>
      </w:r>
      <w:r>
        <w:rPr>
          <w:rFonts w:hint="eastAsia" w:ascii="仿宋_GB2312"/>
          <w:color w:val="auto"/>
          <w:szCs w:val="30"/>
          <w:shd w:val="clear" w:color="auto" w:fill="auto"/>
          <w:lang w:val="en-US" w:eastAsia="zh-CN"/>
        </w:rPr>
        <w:t>41.78</w:t>
      </w:r>
      <w:r>
        <w:rPr>
          <w:rFonts w:hint="eastAsia" w:ascii="仿宋_GB2312"/>
          <w:color w:val="auto"/>
          <w:szCs w:val="30"/>
          <w:shd w:val="clear" w:color="auto" w:fill="auto"/>
        </w:rPr>
        <w:t>万元，其中：事业收入</w:t>
      </w:r>
      <w:r>
        <w:rPr>
          <w:rFonts w:hint="eastAsia" w:ascii="仿宋_GB2312"/>
          <w:color w:val="auto"/>
          <w:szCs w:val="30"/>
          <w:shd w:val="clear" w:color="auto" w:fill="auto"/>
          <w:lang w:val="en-US" w:eastAsia="zh-CN"/>
        </w:rPr>
        <w:t>0</w:t>
      </w:r>
      <w:r>
        <w:rPr>
          <w:rFonts w:hint="eastAsia" w:ascii="仿宋_GB2312"/>
          <w:color w:val="auto"/>
          <w:szCs w:val="30"/>
          <w:shd w:val="clear" w:color="auto" w:fill="auto"/>
        </w:rPr>
        <w:t xml:space="preserve"> 万元，经营收入</w:t>
      </w:r>
      <w:r>
        <w:rPr>
          <w:rFonts w:hint="eastAsia" w:ascii="仿宋_GB2312"/>
          <w:color w:val="auto"/>
          <w:szCs w:val="30"/>
          <w:shd w:val="clear" w:color="auto" w:fill="auto"/>
          <w:lang w:val="en-US" w:eastAsia="zh-CN"/>
        </w:rPr>
        <w:t>0</w:t>
      </w:r>
      <w:r>
        <w:rPr>
          <w:rFonts w:hint="eastAsia" w:ascii="仿宋_GB2312"/>
          <w:color w:val="auto"/>
          <w:szCs w:val="30"/>
          <w:shd w:val="clear" w:color="auto" w:fill="auto"/>
        </w:rPr>
        <w:t>万元，其他收入</w:t>
      </w:r>
      <w:r>
        <w:rPr>
          <w:rFonts w:hint="eastAsia" w:ascii="仿宋_GB2312"/>
          <w:color w:val="auto"/>
          <w:szCs w:val="30"/>
          <w:shd w:val="clear" w:color="auto" w:fill="auto"/>
          <w:lang w:val="en-US" w:eastAsia="zh-CN"/>
        </w:rPr>
        <w:t>41.78</w:t>
      </w:r>
      <w:r>
        <w:rPr>
          <w:rFonts w:hint="eastAsia" w:ascii="仿宋_GB2312"/>
          <w:color w:val="auto"/>
          <w:szCs w:val="30"/>
          <w:shd w:val="clear" w:color="auto" w:fill="auto"/>
        </w:rPr>
        <w:t>万元。非财政拨款支出决算总额</w:t>
      </w:r>
      <w:r>
        <w:rPr>
          <w:rFonts w:hint="eastAsia" w:ascii="仿宋_GB2312"/>
          <w:color w:val="auto"/>
          <w:szCs w:val="30"/>
          <w:shd w:val="clear" w:color="auto" w:fill="auto"/>
          <w:lang w:val="en-US" w:eastAsia="zh-CN"/>
        </w:rPr>
        <w:t>0</w:t>
      </w:r>
      <w:r>
        <w:rPr>
          <w:rFonts w:hint="eastAsia" w:ascii="仿宋_GB2312"/>
          <w:color w:val="auto"/>
          <w:szCs w:val="30"/>
          <w:shd w:val="clear" w:color="auto" w:fill="auto"/>
        </w:rPr>
        <w:t>万元</w:t>
      </w:r>
      <w:r>
        <w:rPr>
          <w:rFonts w:hint="eastAsia" w:ascii="仿宋_GB2312"/>
          <w:color w:val="auto"/>
          <w:szCs w:val="30"/>
          <w:shd w:val="clear" w:color="auto" w:fill="auto"/>
          <w:lang w:eastAsia="zh-CN"/>
        </w:rPr>
        <w:t>。</w:t>
      </w:r>
    </w:p>
    <w:p>
      <w:pPr>
        <w:pStyle w:val="3"/>
        <w:shd w:val="clear"/>
        <w:spacing w:before="156" w:after="156"/>
        <w:rPr>
          <w:rFonts w:hint="eastAsia"/>
          <w:color w:val="auto"/>
          <w:shd w:val="clear" w:color="auto" w:fill="auto"/>
        </w:rPr>
      </w:pPr>
      <w:bookmarkStart w:id="146" w:name="_Toc24202"/>
      <w:bookmarkStart w:id="147" w:name="_Toc17778"/>
      <w:bookmarkStart w:id="148" w:name="_Toc2596_WPSOffice_Level2"/>
      <w:r>
        <w:rPr>
          <w:rFonts w:hint="eastAsia"/>
          <w:color w:val="auto"/>
          <w:shd w:val="clear" w:color="auto" w:fill="auto"/>
        </w:rPr>
        <w:t>十一、2021年度机关运行经费支出情况说明</w:t>
      </w:r>
      <w:bookmarkEnd w:id="146"/>
      <w:bookmarkEnd w:id="147"/>
      <w:bookmarkEnd w:id="148"/>
    </w:p>
    <w:p>
      <w:pPr>
        <w:shd w:val="clear"/>
        <w:autoSpaceDE w:val="0"/>
        <w:autoSpaceDN w:val="0"/>
        <w:adjustRightInd w:val="0"/>
        <w:ind w:firstLine="600" w:firstLineChars="200"/>
        <w:rPr>
          <w:rFonts w:hint="default" w:ascii="仿宋_GB2312"/>
          <w:color w:val="auto"/>
          <w:szCs w:val="30"/>
          <w:shd w:val="clear" w:color="auto" w:fill="auto"/>
          <w:lang w:val="en-US" w:eastAsia="zh-CN"/>
        </w:rPr>
      </w:pPr>
      <w:r>
        <w:rPr>
          <w:rFonts w:hint="eastAsia" w:ascii="仿宋_GB2312"/>
          <w:color w:val="auto"/>
          <w:szCs w:val="30"/>
          <w:shd w:val="clear" w:color="auto" w:fill="auto"/>
        </w:rPr>
        <w:t>本部门2021年度机关运行经费支出</w:t>
      </w:r>
      <w:r>
        <w:rPr>
          <w:rFonts w:hint="eastAsia" w:ascii="仿宋_GB2312"/>
          <w:color w:val="auto"/>
          <w:szCs w:val="30"/>
          <w:shd w:val="clear" w:color="auto" w:fill="auto"/>
          <w:lang w:val="en-US" w:eastAsia="zh-CN"/>
        </w:rPr>
        <w:t>0</w:t>
      </w:r>
      <w:r>
        <w:rPr>
          <w:rFonts w:hint="eastAsia" w:ascii="仿宋_GB2312"/>
          <w:color w:val="auto"/>
          <w:szCs w:val="30"/>
          <w:shd w:val="clear" w:color="auto" w:fill="auto"/>
        </w:rPr>
        <w:t>万元，</w:t>
      </w:r>
      <w:r>
        <w:rPr>
          <w:rFonts w:hint="eastAsia" w:ascii="仿宋_GB2312"/>
          <w:color w:val="auto"/>
          <w:szCs w:val="30"/>
          <w:shd w:val="clear" w:color="auto" w:fill="auto"/>
          <w:lang w:eastAsia="zh-CN"/>
        </w:rPr>
        <w:t>本年和上年均无收入预算，也无相应支出预算</w:t>
      </w:r>
      <w:r>
        <w:rPr>
          <w:rFonts w:hint="eastAsia" w:ascii="仿宋_GB2312"/>
          <w:color w:val="auto"/>
          <w:szCs w:val="30"/>
          <w:shd w:val="clear" w:color="auto" w:fill="auto"/>
        </w:rPr>
        <w:t>。与2020年相比</w:t>
      </w:r>
      <w:r>
        <w:rPr>
          <w:rFonts w:hint="eastAsia" w:ascii="仿宋_GB2312"/>
          <w:color w:val="auto"/>
          <w:szCs w:val="30"/>
          <w:shd w:val="clear" w:color="auto" w:fill="auto"/>
          <w:lang w:eastAsia="zh-CN"/>
        </w:rPr>
        <w:t>无变化。</w:t>
      </w:r>
    </w:p>
    <w:p>
      <w:pPr>
        <w:pStyle w:val="3"/>
        <w:shd w:val="clear"/>
        <w:spacing w:before="156" w:after="156"/>
        <w:rPr>
          <w:rFonts w:hint="eastAsia"/>
          <w:color w:val="auto"/>
          <w:shd w:val="clear" w:color="auto" w:fill="auto"/>
        </w:rPr>
      </w:pPr>
      <w:bookmarkStart w:id="149" w:name="_Toc1864"/>
      <w:bookmarkStart w:id="150" w:name="_Toc5192"/>
      <w:bookmarkStart w:id="151" w:name="_Toc256_WPSOffice_Level2"/>
      <w:r>
        <w:rPr>
          <w:rFonts w:hint="eastAsia"/>
          <w:color w:val="auto"/>
          <w:shd w:val="clear" w:color="auto" w:fill="auto"/>
        </w:rPr>
        <w:t>十二、2021年度政府采购支出情况说明</w:t>
      </w:r>
      <w:bookmarkEnd w:id="149"/>
      <w:bookmarkEnd w:id="150"/>
      <w:bookmarkEnd w:id="151"/>
    </w:p>
    <w:p>
      <w:pPr>
        <w:shd w:val="clear"/>
        <w:autoSpaceDE w:val="0"/>
        <w:autoSpaceDN w:val="0"/>
        <w:adjustRightInd w:val="0"/>
        <w:ind w:firstLine="600" w:firstLineChars="200"/>
        <w:rPr>
          <w:rFonts w:hint="eastAsia" w:ascii="仿宋_GB2312"/>
          <w:color w:val="auto"/>
          <w:szCs w:val="30"/>
          <w:shd w:val="clear" w:color="auto" w:fill="auto"/>
        </w:rPr>
      </w:pPr>
      <w:r>
        <w:rPr>
          <w:rFonts w:hint="eastAsia" w:ascii="仿宋_GB2312"/>
          <w:color w:val="auto"/>
          <w:szCs w:val="30"/>
          <w:shd w:val="clear" w:color="auto" w:fill="auto"/>
        </w:rPr>
        <w:t>本部门2021年度政府采购支出总额</w:t>
      </w:r>
      <w:r>
        <w:rPr>
          <w:rFonts w:hint="eastAsia" w:ascii="仿宋_GB2312"/>
          <w:color w:val="auto"/>
          <w:szCs w:val="30"/>
          <w:shd w:val="clear" w:color="auto" w:fill="auto"/>
          <w:lang w:val="en-US" w:eastAsia="zh-CN"/>
        </w:rPr>
        <w:t>0</w:t>
      </w:r>
      <w:r>
        <w:rPr>
          <w:rFonts w:hint="eastAsia" w:ascii="仿宋_GB2312"/>
          <w:color w:val="auto"/>
          <w:szCs w:val="30"/>
          <w:shd w:val="clear" w:color="auto" w:fill="auto"/>
        </w:rPr>
        <w:t>万元，其中：政府采购货物支出</w:t>
      </w:r>
      <w:r>
        <w:rPr>
          <w:rFonts w:hint="eastAsia" w:ascii="仿宋_GB2312"/>
          <w:color w:val="auto"/>
          <w:szCs w:val="30"/>
          <w:shd w:val="clear" w:color="auto" w:fill="auto"/>
          <w:lang w:val="en-US" w:eastAsia="zh-CN"/>
        </w:rPr>
        <w:t>0</w:t>
      </w:r>
      <w:r>
        <w:rPr>
          <w:rFonts w:hint="eastAsia" w:ascii="仿宋_GB2312"/>
          <w:color w:val="auto"/>
          <w:szCs w:val="30"/>
          <w:shd w:val="clear" w:color="auto" w:fill="auto"/>
        </w:rPr>
        <w:t>万元、政府采购工程支出</w:t>
      </w:r>
      <w:r>
        <w:rPr>
          <w:rFonts w:hint="eastAsia" w:ascii="仿宋_GB2312"/>
          <w:color w:val="auto"/>
          <w:szCs w:val="30"/>
          <w:shd w:val="clear" w:color="auto" w:fill="auto"/>
          <w:lang w:val="en-US" w:eastAsia="zh-CN"/>
        </w:rPr>
        <w:t>0</w:t>
      </w:r>
      <w:r>
        <w:rPr>
          <w:rFonts w:hint="eastAsia" w:ascii="仿宋_GB2312"/>
          <w:color w:val="auto"/>
          <w:szCs w:val="30"/>
          <w:shd w:val="clear" w:color="auto" w:fill="auto"/>
        </w:rPr>
        <w:t>万元、政府采购服务支出</w:t>
      </w:r>
      <w:r>
        <w:rPr>
          <w:rFonts w:hint="eastAsia" w:ascii="仿宋_GB2312"/>
          <w:color w:val="auto"/>
          <w:szCs w:val="30"/>
          <w:shd w:val="clear" w:color="auto" w:fill="auto"/>
          <w:lang w:val="en-US" w:eastAsia="zh-CN"/>
        </w:rPr>
        <w:t>0</w:t>
      </w:r>
      <w:r>
        <w:rPr>
          <w:rFonts w:hint="eastAsia" w:ascii="仿宋_GB2312"/>
          <w:color w:val="auto"/>
          <w:szCs w:val="30"/>
          <w:shd w:val="clear" w:color="auto" w:fill="auto"/>
        </w:rPr>
        <w:t>万元。授予中小企业合同金额</w:t>
      </w:r>
      <w:r>
        <w:rPr>
          <w:rFonts w:hint="eastAsia" w:ascii="仿宋_GB2312"/>
          <w:color w:val="auto"/>
          <w:szCs w:val="30"/>
          <w:shd w:val="clear" w:color="auto" w:fill="auto"/>
          <w:lang w:val="en-US" w:eastAsia="zh-CN"/>
        </w:rPr>
        <w:t>0</w:t>
      </w:r>
      <w:r>
        <w:rPr>
          <w:rFonts w:hint="eastAsia" w:ascii="仿宋_GB2312"/>
          <w:color w:val="auto"/>
          <w:szCs w:val="30"/>
          <w:shd w:val="clear" w:color="auto" w:fill="auto"/>
        </w:rPr>
        <w:t>万元，占政府采购支出总额的</w:t>
      </w:r>
      <w:r>
        <w:rPr>
          <w:rFonts w:hint="eastAsia" w:ascii="仿宋_GB2312"/>
          <w:color w:val="auto"/>
          <w:szCs w:val="30"/>
          <w:shd w:val="clear" w:color="auto" w:fill="auto"/>
          <w:lang w:val="en-US" w:eastAsia="zh-CN"/>
        </w:rPr>
        <w:t>0</w:t>
      </w:r>
      <w:r>
        <w:rPr>
          <w:rFonts w:hint="eastAsia" w:ascii="仿宋_GB2312"/>
          <w:color w:val="auto"/>
          <w:szCs w:val="30"/>
          <w:shd w:val="clear" w:color="auto" w:fill="auto"/>
        </w:rPr>
        <w:t>%，其中：授予小微企业合同金额</w:t>
      </w:r>
      <w:r>
        <w:rPr>
          <w:rFonts w:hint="eastAsia" w:ascii="仿宋_GB2312"/>
          <w:color w:val="auto"/>
          <w:szCs w:val="30"/>
          <w:shd w:val="clear" w:color="auto" w:fill="auto"/>
          <w:lang w:val="en-US" w:eastAsia="zh-CN"/>
        </w:rPr>
        <w:t>0</w:t>
      </w:r>
      <w:r>
        <w:rPr>
          <w:rFonts w:hint="eastAsia" w:ascii="仿宋_GB2312"/>
          <w:color w:val="auto"/>
          <w:szCs w:val="30"/>
          <w:shd w:val="clear" w:color="auto" w:fill="auto"/>
        </w:rPr>
        <w:t>万元，占政府采购支出总额的</w:t>
      </w:r>
      <w:r>
        <w:rPr>
          <w:rFonts w:hint="eastAsia" w:ascii="仿宋_GB2312"/>
          <w:color w:val="auto"/>
          <w:szCs w:val="30"/>
          <w:shd w:val="clear" w:color="auto" w:fill="auto"/>
          <w:lang w:val="en-US" w:eastAsia="zh-CN"/>
        </w:rPr>
        <w:t>0</w:t>
      </w:r>
      <w:r>
        <w:rPr>
          <w:rFonts w:hint="eastAsia" w:ascii="仿宋_GB2312"/>
          <w:color w:val="auto"/>
          <w:szCs w:val="30"/>
          <w:shd w:val="clear" w:color="auto" w:fill="auto"/>
        </w:rPr>
        <w:t>%。</w:t>
      </w:r>
    </w:p>
    <w:p>
      <w:pPr>
        <w:pStyle w:val="3"/>
        <w:shd w:val="clear"/>
        <w:spacing w:before="156" w:after="156"/>
        <w:rPr>
          <w:rFonts w:hint="eastAsia"/>
          <w:color w:val="auto"/>
          <w:shd w:val="clear" w:color="auto" w:fill="auto"/>
        </w:rPr>
      </w:pPr>
      <w:bookmarkStart w:id="152" w:name="_Toc5882"/>
      <w:bookmarkStart w:id="153" w:name="_Toc26385"/>
      <w:bookmarkStart w:id="154" w:name="_Toc25317_WPSOffice_Level2"/>
      <w:r>
        <w:rPr>
          <w:rFonts w:hint="eastAsia"/>
          <w:color w:val="auto"/>
          <w:shd w:val="clear" w:color="auto" w:fill="auto"/>
        </w:rPr>
        <w:t>十三、2021年度国有资产占用情况说明</w:t>
      </w:r>
      <w:bookmarkEnd w:id="152"/>
      <w:bookmarkEnd w:id="153"/>
      <w:bookmarkEnd w:id="154"/>
    </w:p>
    <w:p>
      <w:pPr>
        <w:shd w:val="clear"/>
        <w:autoSpaceDE w:val="0"/>
        <w:autoSpaceDN w:val="0"/>
        <w:adjustRightInd w:val="0"/>
        <w:ind w:firstLine="600" w:firstLineChars="200"/>
        <w:rPr>
          <w:rFonts w:hint="eastAsia" w:ascii="仿宋_GB2312"/>
          <w:color w:val="auto"/>
          <w:szCs w:val="30"/>
          <w:shd w:val="clear" w:color="auto" w:fill="auto"/>
        </w:rPr>
      </w:pPr>
      <w:r>
        <w:rPr>
          <w:rFonts w:hint="eastAsia" w:ascii="仿宋_GB2312"/>
          <w:color w:val="auto"/>
          <w:szCs w:val="30"/>
          <w:shd w:val="clear" w:color="auto" w:fill="auto"/>
        </w:rPr>
        <w:t>截至2021年12月31日，本部门（单位）共有车辆</w:t>
      </w:r>
      <w:r>
        <w:rPr>
          <w:rFonts w:hint="eastAsia" w:ascii="仿宋_GB2312"/>
          <w:color w:val="auto"/>
          <w:szCs w:val="30"/>
          <w:shd w:val="clear" w:color="auto" w:fill="auto"/>
          <w:lang w:val="en-US" w:eastAsia="zh-CN"/>
        </w:rPr>
        <w:t>0</w:t>
      </w:r>
      <w:r>
        <w:rPr>
          <w:rFonts w:hint="eastAsia" w:ascii="仿宋_GB2312"/>
          <w:color w:val="auto"/>
          <w:szCs w:val="30"/>
          <w:shd w:val="clear" w:color="auto" w:fill="auto"/>
        </w:rPr>
        <w:t>辆，其中，副部（省）级及以上领导用车</w:t>
      </w:r>
      <w:r>
        <w:rPr>
          <w:rFonts w:hint="eastAsia" w:ascii="仿宋_GB2312"/>
          <w:color w:val="auto"/>
          <w:szCs w:val="30"/>
          <w:shd w:val="clear" w:color="auto" w:fill="auto"/>
          <w:lang w:val="en-US" w:eastAsia="zh-CN"/>
        </w:rPr>
        <w:t>0</w:t>
      </w:r>
      <w:r>
        <w:rPr>
          <w:rFonts w:hint="eastAsia" w:ascii="仿宋_GB2312"/>
          <w:color w:val="auto"/>
          <w:szCs w:val="30"/>
          <w:shd w:val="clear" w:color="auto" w:fill="auto"/>
        </w:rPr>
        <w:t>辆、主要领导干部用车</w:t>
      </w:r>
      <w:r>
        <w:rPr>
          <w:rFonts w:hint="eastAsia" w:ascii="仿宋_GB2312"/>
          <w:color w:val="auto"/>
          <w:szCs w:val="30"/>
          <w:shd w:val="clear" w:color="auto" w:fill="auto"/>
          <w:lang w:val="en-US" w:eastAsia="zh-CN"/>
        </w:rPr>
        <w:t>0</w:t>
      </w:r>
      <w:r>
        <w:rPr>
          <w:rFonts w:hint="eastAsia" w:ascii="仿宋_GB2312"/>
          <w:color w:val="auto"/>
          <w:szCs w:val="30"/>
          <w:shd w:val="clear" w:color="auto" w:fill="auto"/>
        </w:rPr>
        <w:t>辆、机要通信用车</w:t>
      </w:r>
      <w:r>
        <w:rPr>
          <w:rFonts w:hint="eastAsia" w:ascii="仿宋_GB2312"/>
          <w:color w:val="auto"/>
          <w:szCs w:val="30"/>
          <w:shd w:val="clear" w:color="auto" w:fill="auto"/>
          <w:lang w:val="en-US" w:eastAsia="zh-CN"/>
        </w:rPr>
        <w:t>0</w:t>
      </w:r>
      <w:r>
        <w:rPr>
          <w:rFonts w:hint="eastAsia" w:ascii="仿宋_GB2312"/>
          <w:color w:val="auto"/>
          <w:szCs w:val="30"/>
          <w:shd w:val="clear" w:color="auto" w:fill="auto"/>
        </w:rPr>
        <w:t>辆、应急保障用车</w:t>
      </w:r>
      <w:r>
        <w:rPr>
          <w:rFonts w:hint="eastAsia" w:ascii="仿宋_GB2312"/>
          <w:color w:val="auto"/>
          <w:szCs w:val="30"/>
          <w:shd w:val="clear" w:color="auto" w:fill="auto"/>
          <w:lang w:val="en-US" w:eastAsia="zh-CN"/>
        </w:rPr>
        <w:t>0</w:t>
      </w:r>
      <w:r>
        <w:rPr>
          <w:rFonts w:hint="eastAsia" w:ascii="仿宋_GB2312"/>
          <w:color w:val="auto"/>
          <w:szCs w:val="30"/>
          <w:shd w:val="clear" w:color="auto" w:fill="auto"/>
        </w:rPr>
        <w:t>辆、执法执勤用车</w:t>
      </w:r>
      <w:r>
        <w:rPr>
          <w:rFonts w:hint="eastAsia" w:ascii="仿宋_GB2312"/>
          <w:color w:val="auto"/>
          <w:szCs w:val="30"/>
          <w:shd w:val="clear" w:color="auto" w:fill="auto"/>
          <w:lang w:val="en-US" w:eastAsia="zh-CN"/>
        </w:rPr>
        <w:t>0</w:t>
      </w:r>
      <w:r>
        <w:rPr>
          <w:rFonts w:hint="eastAsia" w:ascii="仿宋_GB2312"/>
          <w:color w:val="auto"/>
          <w:szCs w:val="30"/>
          <w:shd w:val="clear" w:color="auto" w:fill="auto"/>
        </w:rPr>
        <w:t>辆、特种专业技术用车</w:t>
      </w:r>
      <w:r>
        <w:rPr>
          <w:rFonts w:hint="eastAsia" w:ascii="仿宋_GB2312"/>
          <w:color w:val="auto"/>
          <w:szCs w:val="30"/>
          <w:shd w:val="clear" w:color="auto" w:fill="auto"/>
          <w:lang w:val="en-US" w:eastAsia="zh-CN"/>
        </w:rPr>
        <w:t>0</w:t>
      </w:r>
      <w:r>
        <w:rPr>
          <w:rFonts w:hint="eastAsia" w:ascii="仿宋_GB2312"/>
          <w:color w:val="auto"/>
          <w:szCs w:val="30"/>
          <w:shd w:val="clear" w:color="auto" w:fill="auto"/>
        </w:rPr>
        <w:t>辆、离退休干部用车</w:t>
      </w:r>
      <w:r>
        <w:rPr>
          <w:rFonts w:hint="eastAsia" w:ascii="仿宋_GB2312"/>
          <w:color w:val="auto"/>
          <w:szCs w:val="30"/>
          <w:shd w:val="clear" w:color="auto" w:fill="auto"/>
          <w:lang w:val="en-US" w:eastAsia="zh-CN"/>
        </w:rPr>
        <w:t>0</w:t>
      </w:r>
      <w:r>
        <w:rPr>
          <w:rFonts w:hint="eastAsia" w:ascii="仿宋_GB2312"/>
          <w:color w:val="auto"/>
          <w:szCs w:val="30"/>
          <w:shd w:val="clear" w:color="auto" w:fill="auto"/>
        </w:rPr>
        <w:t>辆、其他用车</w:t>
      </w:r>
      <w:r>
        <w:rPr>
          <w:rFonts w:hint="eastAsia" w:ascii="仿宋_GB2312"/>
          <w:color w:val="auto"/>
          <w:szCs w:val="30"/>
          <w:shd w:val="clear" w:color="auto" w:fill="auto"/>
          <w:lang w:val="en-US" w:eastAsia="zh-CN"/>
        </w:rPr>
        <w:t>0</w:t>
      </w:r>
      <w:r>
        <w:rPr>
          <w:rFonts w:hint="eastAsia" w:ascii="仿宋_GB2312"/>
          <w:color w:val="auto"/>
          <w:szCs w:val="30"/>
          <w:shd w:val="clear" w:color="auto" w:fill="auto"/>
        </w:rPr>
        <w:t>辆，其他用车主要是</w:t>
      </w:r>
      <w:r>
        <w:rPr>
          <w:rFonts w:hint="eastAsia" w:ascii="仿宋_GB2312"/>
          <w:color w:val="auto"/>
          <w:szCs w:val="30"/>
          <w:shd w:val="clear" w:color="auto" w:fill="auto"/>
          <w:lang w:eastAsia="zh-CN"/>
        </w:rPr>
        <w:t>无</w:t>
      </w:r>
      <w:r>
        <w:rPr>
          <w:rFonts w:hint="eastAsia" w:ascii="仿宋_GB2312"/>
          <w:color w:val="auto"/>
          <w:szCs w:val="30"/>
          <w:shd w:val="clear" w:color="auto" w:fill="auto"/>
        </w:rPr>
        <w:t>；单位价值50万元（含）以上的通用设备</w:t>
      </w:r>
      <w:r>
        <w:rPr>
          <w:rFonts w:hint="eastAsia" w:ascii="仿宋_GB2312"/>
          <w:color w:val="auto"/>
          <w:szCs w:val="30"/>
          <w:shd w:val="clear" w:color="auto" w:fill="auto"/>
          <w:lang w:val="en-US" w:eastAsia="zh-CN"/>
        </w:rPr>
        <w:t>0</w:t>
      </w:r>
      <w:r>
        <w:rPr>
          <w:rFonts w:hint="eastAsia" w:ascii="仿宋_GB2312"/>
          <w:color w:val="auto"/>
          <w:szCs w:val="30"/>
          <w:shd w:val="clear" w:color="auto" w:fill="auto"/>
        </w:rPr>
        <w:t>（台、套），单位价值100万元（含）以上的专用设备</w:t>
      </w:r>
      <w:r>
        <w:rPr>
          <w:rFonts w:hint="eastAsia" w:ascii="仿宋_GB2312"/>
          <w:color w:val="auto"/>
          <w:szCs w:val="30"/>
          <w:shd w:val="clear" w:color="auto" w:fill="auto"/>
          <w:lang w:val="en-US" w:eastAsia="zh-CN"/>
        </w:rPr>
        <w:t>0</w:t>
      </w:r>
      <w:r>
        <w:rPr>
          <w:rFonts w:hint="eastAsia" w:ascii="仿宋_GB2312"/>
          <w:color w:val="auto"/>
          <w:szCs w:val="30"/>
          <w:shd w:val="clear" w:color="auto" w:fill="auto"/>
        </w:rPr>
        <w:t>（台、套）。</w:t>
      </w:r>
    </w:p>
    <w:p>
      <w:pPr>
        <w:pStyle w:val="3"/>
        <w:shd w:val="clear"/>
        <w:spacing w:before="156" w:after="156"/>
        <w:rPr>
          <w:rFonts w:hint="eastAsia"/>
          <w:color w:val="auto"/>
          <w:shd w:val="clear" w:color="auto" w:fill="auto"/>
        </w:rPr>
      </w:pPr>
      <w:bookmarkStart w:id="155" w:name="_Toc7238_WPSOffice_Level2"/>
      <w:bookmarkStart w:id="156" w:name="_Toc330_WPSOffice_Level2"/>
      <w:bookmarkStart w:id="157" w:name="_Toc18842"/>
      <w:bookmarkStart w:id="158" w:name="_Toc8439"/>
      <w:bookmarkStart w:id="159" w:name="_Toc16248_WPSOffice_Level2"/>
      <w:r>
        <w:rPr>
          <w:rFonts w:hint="eastAsia"/>
          <w:color w:val="auto"/>
          <w:shd w:val="clear" w:color="auto" w:fill="auto"/>
        </w:rPr>
        <w:t>十四、预算绩效情况说明</w:t>
      </w:r>
      <w:bookmarkEnd w:id="155"/>
      <w:bookmarkEnd w:id="156"/>
      <w:bookmarkEnd w:id="157"/>
      <w:bookmarkEnd w:id="158"/>
      <w:bookmarkEnd w:id="159"/>
    </w:p>
    <w:p>
      <w:pPr>
        <w:shd w:val="clear"/>
        <w:ind w:firstLine="600" w:firstLineChars="200"/>
        <w:jc w:val="left"/>
        <w:rPr>
          <w:rFonts w:hint="eastAsia" w:ascii="仿宋_GB2312" w:hAnsi="Calibri"/>
          <w:color w:val="auto"/>
          <w:szCs w:val="30"/>
          <w:shd w:val="clear" w:color="auto" w:fill="auto"/>
        </w:rPr>
      </w:pPr>
      <w:bookmarkStart w:id="160" w:name="_Toc32431_WPSOffice_Level3"/>
      <w:r>
        <w:rPr>
          <w:rFonts w:hint="eastAsia" w:ascii="仿宋_GB2312" w:hAnsi="Calibri"/>
          <w:color w:val="auto"/>
          <w:szCs w:val="30"/>
          <w:shd w:val="clear" w:color="auto" w:fill="auto"/>
        </w:rPr>
        <w:t>（一）预算绩效管理工作开展情况</w:t>
      </w:r>
    </w:p>
    <w:p>
      <w:pPr>
        <w:shd w:val="clear"/>
        <w:autoSpaceDE w:val="0"/>
        <w:autoSpaceDN w:val="0"/>
        <w:adjustRightInd w:val="0"/>
        <w:ind w:firstLine="600" w:firstLineChars="200"/>
        <w:rPr>
          <w:rFonts w:hint="eastAsia" w:ascii="仿宋_GB2312"/>
          <w:color w:val="auto"/>
          <w:szCs w:val="30"/>
          <w:shd w:val="clear" w:color="auto" w:fill="auto"/>
        </w:rPr>
      </w:pPr>
      <w:r>
        <w:rPr>
          <w:rFonts w:hint="eastAsia" w:ascii="仿宋_GB2312"/>
          <w:color w:val="auto"/>
          <w:szCs w:val="30"/>
          <w:shd w:val="clear" w:color="auto" w:fill="auto"/>
        </w:rPr>
        <w:t>根据预算绩效管理要求，我单位组织对2021年度一般公共预算项目支出开展了绩效自评工作，共计</w:t>
      </w:r>
      <w:r>
        <w:rPr>
          <w:rFonts w:hint="eastAsia" w:ascii="仿宋_GB2312"/>
          <w:color w:val="auto"/>
          <w:szCs w:val="30"/>
          <w:shd w:val="clear" w:color="auto" w:fill="auto"/>
          <w:lang w:val="en-US" w:eastAsia="zh-CN"/>
        </w:rPr>
        <w:t>1</w:t>
      </w:r>
      <w:r>
        <w:rPr>
          <w:rFonts w:hint="eastAsia" w:ascii="仿宋_GB2312"/>
          <w:color w:val="auto"/>
          <w:szCs w:val="30"/>
          <w:shd w:val="clear" w:color="auto" w:fill="auto"/>
        </w:rPr>
        <w:t>个市级财政项目进行了绩效自评，涉及资金</w:t>
      </w:r>
      <w:r>
        <w:rPr>
          <w:rFonts w:hint="eastAsia" w:ascii="仿宋_GB2312"/>
          <w:color w:val="auto"/>
          <w:szCs w:val="30"/>
          <w:shd w:val="clear" w:color="auto" w:fill="auto"/>
          <w:lang w:val="en-US" w:eastAsia="zh-CN"/>
        </w:rPr>
        <w:t>24.42</w:t>
      </w:r>
      <w:r>
        <w:rPr>
          <w:rFonts w:hint="eastAsia" w:ascii="仿宋_GB2312"/>
          <w:color w:val="auto"/>
          <w:szCs w:val="30"/>
          <w:shd w:val="clear" w:color="auto" w:fill="auto"/>
        </w:rPr>
        <w:t>万元，自评覆盖率达到</w:t>
      </w:r>
      <w:r>
        <w:rPr>
          <w:rFonts w:hint="eastAsia" w:ascii="仿宋_GB2312"/>
          <w:color w:val="auto"/>
          <w:szCs w:val="30"/>
          <w:shd w:val="clear" w:color="auto" w:fill="auto"/>
          <w:lang w:val="en-US" w:eastAsia="zh-CN"/>
        </w:rPr>
        <w:t>97</w:t>
      </w:r>
      <w:r>
        <w:rPr>
          <w:rFonts w:hint="eastAsia" w:ascii="仿宋_GB2312"/>
          <w:color w:val="auto"/>
          <w:szCs w:val="30"/>
          <w:shd w:val="clear" w:color="auto" w:fill="auto"/>
        </w:rPr>
        <w:t>%。</w:t>
      </w:r>
    </w:p>
    <w:p>
      <w:pPr>
        <w:shd w:val="clear"/>
        <w:autoSpaceDE w:val="0"/>
        <w:autoSpaceDN w:val="0"/>
        <w:adjustRightInd w:val="0"/>
        <w:ind w:firstLine="600" w:firstLineChars="200"/>
        <w:rPr>
          <w:rFonts w:hint="eastAsia" w:ascii="仿宋_GB2312" w:hAnsi="华文中宋"/>
          <w:color w:val="auto"/>
          <w:szCs w:val="30"/>
          <w:shd w:val="clear" w:color="auto" w:fill="auto"/>
        </w:rPr>
      </w:pPr>
      <w:r>
        <w:rPr>
          <w:rFonts w:hint="eastAsia" w:ascii="仿宋_GB2312" w:hAnsi="华文中宋"/>
          <w:color w:val="auto"/>
          <w:szCs w:val="30"/>
          <w:shd w:val="clear" w:color="auto" w:fill="auto"/>
        </w:rPr>
        <w:t>（二）项目支出绩效自评结果</w:t>
      </w:r>
    </w:p>
    <w:p>
      <w:pPr>
        <w:shd w:val="clear"/>
        <w:autoSpaceDE w:val="0"/>
        <w:autoSpaceDN w:val="0"/>
        <w:adjustRightInd w:val="0"/>
        <w:ind w:firstLine="600" w:firstLineChars="200"/>
        <w:rPr>
          <w:rFonts w:hint="eastAsia" w:ascii="仿宋_GB2312" w:hAnsi="华文中宋"/>
          <w:color w:val="auto"/>
          <w:szCs w:val="30"/>
          <w:shd w:val="clear" w:color="auto" w:fill="auto"/>
        </w:rPr>
      </w:pPr>
      <w:r>
        <w:rPr>
          <w:rFonts w:hint="eastAsia" w:ascii="仿宋_GB2312" w:hAnsi="华文中宋"/>
          <w:color w:val="auto"/>
          <w:szCs w:val="30"/>
          <w:shd w:val="clear" w:color="auto" w:fill="auto"/>
        </w:rPr>
        <w:t>1、2021年高级人才津贴项目</w:t>
      </w:r>
    </w:p>
    <w:p>
      <w:pPr>
        <w:shd w:val="clear"/>
        <w:autoSpaceDE w:val="0"/>
        <w:autoSpaceDN w:val="0"/>
        <w:adjustRightInd w:val="0"/>
        <w:ind w:firstLine="600" w:firstLineChars="200"/>
        <w:rPr>
          <w:rFonts w:hint="eastAsia" w:ascii="仿宋_GB2312" w:hAnsi="华文中宋"/>
          <w:color w:val="auto"/>
          <w:szCs w:val="30"/>
          <w:shd w:val="clear" w:color="auto" w:fill="auto"/>
          <w:lang w:val="en-US" w:eastAsia="zh-CN"/>
        </w:rPr>
      </w:pPr>
      <w:r>
        <w:rPr>
          <w:rFonts w:hint="eastAsia" w:ascii="仿宋_GB2312" w:hAnsi="华文中宋"/>
          <w:color w:val="auto"/>
          <w:szCs w:val="30"/>
          <w:shd w:val="clear" w:color="auto" w:fill="auto"/>
        </w:rPr>
        <w:t>根据年初设定的绩效目标，本部门已完成部分目标任务。项目概况</w:t>
      </w:r>
      <w:r>
        <w:rPr>
          <w:rFonts w:hint="eastAsia" w:ascii="仿宋_GB2312" w:hAnsi="华文中宋"/>
          <w:color w:val="auto"/>
          <w:szCs w:val="30"/>
          <w:shd w:val="clear" w:color="auto" w:fill="auto"/>
          <w:lang w:eastAsia="zh-CN"/>
        </w:rPr>
        <w:t>：</w:t>
      </w:r>
      <w:r>
        <w:rPr>
          <w:rFonts w:hint="eastAsia" w:ascii="仿宋_GB2312" w:hAnsi="华文中宋"/>
          <w:color w:val="auto"/>
          <w:szCs w:val="30"/>
          <w:shd w:val="clear" w:color="auto" w:fill="auto"/>
        </w:rPr>
        <w:t>项目预算数</w:t>
      </w:r>
      <w:r>
        <w:rPr>
          <w:rFonts w:hint="eastAsia" w:ascii="仿宋_GB2312" w:hAnsi="华文中宋"/>
          <w:color w:val="auto"/>
          <w:szCs w:val="30"/>
          <w:shd w:val="clear" w:color="auto" w:fill="auto"/>
          <w:lang w:eastAsia="zh-CN"/>
        </w:rPr>
        <w:t>为</w:t>
      </w:r>
      <w:r>
        <w:rPr>
          <w:rFonts w:hint="eastAsia" w:ascii="仿宋_GB2312" w:hAnsi="华文中宋"/>
          <w:color w:val="auto"/>
          <w:szCs w:val="30"/>
          <w:shd w:val="clear" w:color="auto" w:fill="auto"/>
          <w:lang w:val="en-US" w:eastAsia="zh-CN"/>
        </w:rPr>
        <w:t>24.42万元，</w:t>
      </w:r>
      <w:r>
        <w:rPr>
          <w:rFonts w:hint="eastAsia" w:ascii="仿宋_GB2312" w:hAnsi="华文中宋"/>
          <w:color w:val="auto"/>
          <w:szCs w:val="30"/>
          <w:shd w:val="clear" w:color="auto" w:fill="auto"/>
        </w:rPr>
        <w:t>执行数</w:t>
      </w:r>
      <w:r>
        <w:rPr>
          <w:rFonts w:hint="eastAsia" w:ascii="仿宋_GB2312" w:hAnsi="华文中宋"/>
          <w:color w:val="auto"/>
          <w:szCs w:val="30"/>
          <w:shd w:val="clear" w:color="auto" w:fill="auto"/>
          <w:lang w:eastAsia="zh-CN"/>
        </w:rPr>
        <w:t>为</w:t>
      </w:r>
      <w:r>
        <w:rPr>
          <w:rFonts w:hint="eastAsia" w:ascii="仿宋_GB2312" w:hAnsi="华文中宋"/>
          <w:color w:val="auto"/>
          <w:szCs w:val="30"/>
          <w:shd w:val="clear" w:color="auto" w:fill="auto"/>
          <w:lang w:val="en-US" w:eastAsia="zh-CN"/>
        </w:rPr>
        <w:t>23.70万元，</w:t>
      </w:r>
      <w:r>
        <w:rPr>
          <w:rFonts w:hint="eastAsia" w:ascii="仿宋_GB2312" w:hAnsi="华文中宋"/>
          <w:color w:val="auto"/>
          <w:szCs w:val="30"/>
          <w:shd w:val="clear" w:color="auto" w:fill="auto"/>
        </w:rPr>
        <w:t>执行率</w:t>
      </w:r>
      <w:r>
        <w:rPr>
          <w:rFonts w:hint="eastAsia" w:ascii="仿宋_GB2312" w:hAnsi="华文中宋"/>
          <w:color w:val="auto"/>
          <w:szCs w:val="30"/>
          <w:shd w:val="clear" w:color="auto" w:fill="auto"/>
          <w:lang w:eastAsia="zh-CN"/>
        </w:rPr>
        <w:t>为</w:t>
      </w:r>
      <w:r>
        <w:rPr>
          <w:rFonts w:hint="eastAsia" w:ascii="仿宋_GB2312" w:hAnsi="华文中宋"/>
          <w:color w:val="auto"/>
          <w:szCs w:val="30"/>
          <w:shd w:val="clear" w:color="auto" w:fill="auto"/>
          <w:lang w:val="en-US" w:eastAsia="zh-CN"/>
        </w:rPr>
        <w:t>97%。</w:t>
      </w:r>
    </w:p>
    <w:p>
      <w:pPr>
        <w:pStyle w:val="12"/>
        <w:widowControl/>
        <w:shd w:val="clear"/>
        <w:spacing w:beforeAutospacing="0" w:afterAutospacing="0" w:line="600" w:lineRule="atLeast"/>
        <w:ind w:firstLine="600" w:firstLineChars="200"/>
        <w:rPr>
          <w:rFonts w:hint="eastAsia" w:ascii="仿宋_GB2312" w:eastAsia="仿宋_GB2312"/>
          <w:color w:val="auto"/>
          <w:kern w:val="2"/>
          <w:sz w:val="30"/>
          <w:szCs w:val="30"/>
          <w:shd w:val="clear" w:color="auto" w:fill="auto"/>
        </w:rPr>
      </w:pPr>
      <w:r>
        <w:rPr>
          <w:rFonts w:hint="eastAsia" w:ascii="仿宋_GB2312" w:eastAsia="仿宋_GB2312"/>
          <w:color w:val="auto"/>
          <w:kern w:val="2"/>
          <w:sz w:val="30"/>
          <w:szCs w:val="30"/>
          <w:shd w:val="clear" w:color="auto" w:fill="auto"/>
        </w:rPr>
        <w:t>主要的产出和效果是</w:t>
      </w:r>
      <w:r>
        <w:rPr>
          <w:rFonts w:hint="eastAsia" w:ascii="仿宋_GB2312" w:eastAsia="仿宋_GB2312"/>
          <w:color w:val="auto"/>
          <w:sz w:val="30"/>
          <w:szCs w:val="30"/>
          <w:shd w:val="clear" w:color="auto" w:fill="auto"/>
        </w:rPr>
        <w:t>目标1：编辑记者培训经费项目，纪录历史，积累文化，服务当代，传播文明，扶持原创，扶持精品；目标2：开展文化交流与合作，展示创新成果，努力打造代表国家、省、市水平的文化精品，推动社会主义文化强国建设；目标3：传承和弘扬中华优秀传统文化，增强文化软实力；目标4：打造新媒体，培养新媒体人才。</w:t>
      </w:r>
    </w:p>
    <w:p>
      <w:pPr>
        <w:shd w:val="clear"/>
        <w:ind w:firstLine="600" w:firstLineChars="200"/>
        <w:jc w:val="left"/>
        <w:rPr>
          <w:rFonts w:hint="eastAsia" w:ascii="仿宋_GB2312" w:hAnsi="Calibri" w:eastAsia="仿宋_GB2312" w:cs="Times New Roman"/>
          <w:color w:val="auto"/>
          <w:kern w:val="0"/>
          <w:sz w:val="30"/>
          <w:szCs w:val="30"/>
          <w:shd w:val="clear" w:color="auto" w:fill="auto"/>
          <w:lang w:val="en-US" w:eastAsia="zh-CN" w:bidi="ar-SA"/>
        </w:rPr>
      </w:pPr>
      <w:r>
        <w:rPr>
          <w:rFonts w:hint="eastAsia" w:ascii="仿宋_GB2312" w:hAnsi="Calibri" w:eastAsia="仿宋_GB2312" w:cs="Times New Roman"/>
          <w:color w:val="auto"/>
          <w:kern w:val="0"/>
          <w:sz w:val="30"/>
          <w:szCs w:val="30"/>
          <w:shd w:val="clear" w:color="auto" w:fill="auto"/>
          <w:lang w:val="en-US" w:eastAsia="zh-CN" w:bidi="ar-SA"/>
        </w:rPr>
        <w:t>自评结论为完成年初设立的目标，传达中央声音，反映基层实践，探索发展新路，传播先进文化，提供决策参考，服务老区建设，展示西部风采。在市委、市政府的领导下，以高度的责任感、使命感，完成市委、市政府下达的宣传任务，为推动遵义经济社会发展，全面建成小康社会营造良好的舆论氛围。自评得分为</w:t>
      </w:r>
      <w:r>
        <w:rPr>
          <w:rFonts w:hint="eastAsia" w:ascii="仿宋_GB2312" w:hAnsi="Calibri" w:cs="Times New Roman"/>
          <w:color w:val="auto"/>
          <w:kern w:val="0"/>
          <w:sz w:val="30"/>
          <w:szCs w:val="30"/>
          <w:shd w:val="clear" w:color="auto" w:fill="auto"/>
          <w:lang w:val="en-US" w:eastAsia="zh-CN" w:bidi="ar-SA"/>
        </w:rPr>
        <w:t>99.7</w:t>
      </w:r>
      <w:r>
        <w:rPr>
          <w:rFonts w:hint="eastAsia" w:ascii="仿宋_GB2312" w:hAnsi="Calibri" w:eastAsia="仿宋_GB2312" w:cs="Times New Roman"/>
          <w:color w:val="auto"/>
          <w:kern w:val="0"/>
          <w:sz w:val="30"/>
          <w:szCs w:val="30"/>
          <w:shd w:val="clear" w:color="auto" w:fill="auto"/>
          <w:lang w:val="en-US" w:eastAsia="zh-CN" w:bidi="ar-SA"/>
        </w:rPr>
        <w:t xml:space="preserve">分。（项目支出绩效自评表见附表） </w:t>
      </w:r>
    </w:p>
    <w:bookmarkEnd w:id="160"/>
    <w:p>
      <w:pPr>
        <w:pStyle w:val="2"/>
        <w:shd w:val="clear"/>
        <w:spacing w:before="156" w:after="156" w:line="300" w:lineRule="auto"/>
        <w:ind w:left="0" w:leftChars="0" w:right="300" w:firstLine="0" w:firstLineChars="0"/>
        <w:jc w:val="both"/>
        <w:rPr>
          <w:rFonts w:hint="eastAsia"/>
          <w:b w:val="0"/>
          <w:bCs w:val="0"/>
          <w:color w:val="auto"/>
          <w:sz w:val="36"/>
          <w:szCs w:val="36"/>
          <w:shd w:val="clear" w:color="auto" w:fill="auto"/>
        </w:rPr>
      </w:pPr>
      <w:bookmarkStart w:id="161" w:name="_Toc6040_WPSOffice_Level1"/>
      <w:bookmarkStart w:id="162" w:name="_Toc28085"/>
      <w:bookmarkStart w:id="163" w:name="_Toc25063_WPSOffice_Level1"/>
      <w:bookmarkStart w:id="164" w:name="_Toc16713_WPSOffice_Level1"/>
      <w:bookmarkStart w:id="165" w:name="_Toc11389"/>
      <w:bookmarkStart w:id="166" w:name="_Toc15005_WPSOffice_Level1"/>
    </w:p>
    <w:p>
      <w:pPr>
        <w:pStyle w:val="2"/>
        <w:shd w:val="clear"/>
        <w:spacing w:before="156" w:after="156" w:line="300" w:lineRule="auto"/>
        <w:ind w:left="0" w:leftChars="0" w:right="300" w:firstLine="0" w:firstLineChars="0"/>
        <w:jc w:val="center"/>
        <w:rPr>
          <w:rFonts w:hint="eastAsia"/>
          <w:b w:val="0"/>
          <w:bCs w:val="0"/>
          <w:color w:val="auto"/>
          <w:sz w:val="36"/>
          <w:szCs w:val="36"/>
          <w:shd w:val="clear" w:color="auto" w:fill="auto"/>
        </w:rPr>
      </w:pPr>
      <w:r>
        <w:rPr>
          <w:rFonts w:hint="eastAsia"/>
          <w:b w:val="0"/>
          <w:bCs w:val="0"/>
          <w:color w:val="auto"/>
          <w:sz w:val="36"/>
          <w:szCs w:val="36"/>
          <w:shd w:val="clear" w:color="auto" w:fill="auto"/>
        </w:rPr>
        <w:t>第四部分 名词解释</w:t>
      </w:r>
      <w:bookmarkEnd w:id="161"/>
      <w:bookmarkEnd w:id="162"/>
      <w:bookmarkEnd w:id="163"/>
      <w:bookmarkEnd w:id="164"/>
      <w:bookmarkEnd w:id="165"/>
      <w:bookmarkEnd w:id="166"/>
    </w:p>
    <w:p>
      <w:pPr>
        <w:shd w:val="clear"/>
        <w:autoSpaceDE w:val="0"/>
        <w:autoSpaceDN w:val="0"/>
        <w:adjustRightInd w:val="0"/>
        <w:ind w:firstLine="720" w:firstLineChars="200"/>
        <w:rPr>
          <w:rFonts w:hint="eastAsia" w:ascii="仿宋_GB2312"/>
          <w:color w:val="auto"/>
          <w:sz w:val="36"/>
          <w:szCs w:val="36"/>
          <w:shd w:val="clear" w:color="auto" w:fill="auto"/>
        </w:rPr>
      </w:pPr>
    </w:p>
    <w:p>
      <w:pPr>
        <w:shd w:val="clear"/>
        <w:autoSpaceDE w:val="0"/>
        <w:autoSpaceDN w:val="0"/>
        <w:adjustRightInd w:val="0"/>
        <w:ind w:firstLine="600" w:firstLineChars="200"/>
        <w:rPr>
          <w:rFonts w:hint="eastAsia" w:ascii="仿宋_GB2312"/>
          <w:color w:val="auto"/>
          <w:szCs w:val="30"/>
          <w:shd w:val="clear" w:color="auto" w:fill="auto"/>
        </w:rPr>
      </w:pPr>
      <w:r>
        <w:rPr>
          <w:rFonts w:hint="eastAsia" w:ascii="仿宋_GB2312"/>
          <w:color w:val="auto"/>
          <w:szCs w:val="30"/>
          <w:shd w:val="clear" w:color="auto" w:fill="auto"/>
        </w:rPr>
        <w:t>（一）财政拨款收入：指单位从同级财政部门取得的当年拨付的资金。</w:t>
      </w:r>
    </w:p>
    <w:p>
      <w:pPr>
        <w:shd w:val="clear"/>
        <w:autoSpaceDE w:val="0"/>
        <w:autoSpaceDN w:val="0"/>
        <w:adjustRightInd w:val="0"/>
        <w:ind w:firstLine="600" w:firstLineChars="200"/>
        <w:rPr>
          <w:rFonts w:ascii="仿宋_GB2312"/>
          <w:color w:val="auto"/>
          <w:szCs w:val="30"/>
          <w:shd w:val="clear" w:color="auto" w:fill="auto"/>
        </w:rPr>
      </w:pPr>
      <w:r>
        <w:rPr>
          <w:rFonts w:hint="eastAsia" w:ascii="仿宋_GB2312"/>
          <w:color w:val="auto"/>
          <w:szCs w:val="30"/>
          <w:shd w:val="clear" w:color="auto" w:fill="auto"/>
        </w:rPr>
        <w:t>（二）上级补助收入：指事业单位从主管部门和上级单位取得的非财政拨款收入。</w:t>
      </w:r>
    </w:p>
    <w:p>
      <w:pPr>
        <w:shd w:val="clear"/>
        <w:autoSpaceDE w:val="0"/>
        <w:autoSpaceDN w:val="0"/>
        <w:adjustRightInd w:val="0"/>
        <w:ind w:firstLine="600" w:firstLineChars="200"/>
        <w:rPr>
          <w:rFonts w:ascii="仿宋_GB2312"/>
          <w:color w:val="auto"/>
          <w:szCs w:val="30"/>
          <w:shd w:val="clear" w:color="auto" w:fill="auto"/>
        </w:rPr>
      </w:pPr>
      <w:r>
        <w:rPr>
          <w:rFonts w:hint="eastAsia" w:ascii="仿宋_GB2312"/>
          <w:color w:val="auto"/>
          <w:szCs w:val="30"/>
          <w:shd w:val="clear" w:color="auto" w:fill="auto"/>
        </w:rPr>
        <w:t>（三）事业收入：指事业单位开展专业业务活动及其辅助活动所取得的收入。</w:t>
      </w:r>
    </w:p>
    <w:p>
      <w:pPr>
        <w:shd w:val="clear"/>
        <w:autoSpaceDE w:val="0"/>
        <w:autoSpaceDN w:val="0"/>
        <w:adjustRightInd w:val="0"/>
        <w:ind w:firstLine="600" w:firstLineChars="200"/>
        <w:rPr>
          <w:rFonts w:hint="eastAsia" w:ascii="仿宋_GB2312"/>
          <w:color w:val="auto"/>
          <w:szCs w:val="30"/>
          <w:shd w:val="clear" w:color="auto" w:fill="auto"/>
        </w:rPr>
      </w:pPr>
      <w:r>
        <w:rPr>
          <w:rFonts w:hint="eastAsia" w:ascii="仿宋_GB2312"/>
          <w:color w:val="auto"/>
          <w:szCs w:val="30"/>
          <w:shd w:val="clear" w:color="auto" w:fill="auto"/>
        </w:rPr>
        <w:t>（四）经营收入：指事业单位在专业业务活动及其辅助活动之外开展非独立核算经营活动取得的收入。</w:t>
      </w:r>
    </w:p>
    <w:p>
      <w:pPr>
        <w:shd w:val="clear"/>
        <w:autoSpaceDE w:val="0"/>
        <w:autoSpaceDN w:val="0"/>
        <w:adjustRightInd w:val="0"/>
        <w:ind w:firstLine="600" w:firstLineChars="200"/>
        <w:rPr>
          <w:rFonts w:hint="eastAsia" w:ascii="仿宋_GB2312"/>
          <w:color w:val="auto"/>
          <w:szCs w:val="30"/>
          <w:shd w:val="clear" w:color="auto" w:fill="auto"/>
        </w:rPr>
      </w:pPr>
      <w:r>
        <w:rPr>
          <w:rFonts w:hint="eastAsia" w:ascii="仿宋_GB2312"/>
          <w:color w:val="auto"/>
          <w:szCs w:val="30"/>
          <w:shd w:val="clear" w:color="auto" w:fill="auto"/>
        </w:rPr>
        <w:t>（五）附属单位上缴收入：指事业单位取得的附属独立核算单位按照有关规定上缴的收入。</w:t>
      </w:r>
    </w:p>
    <w:p>
      <w:pPr>
        <w:shd w:val="clear"/>
        <w:autoSpaceDE w:val="0"/>
        <w:autoSpaceDN w:val="0"/>
        <w:adjustRightInd w:val="0"/>
        <w:ind w:firstLine="600" w:firstLineChars="200"/>
        <w:rPr>
          <w:rFonts w:ascii="仿宋_GB2312"/>
          <w:color w:val="auto"/>
          <w:szCs w:val="30"/>
          <w:shd w:val="clear" w:color="auto" w:fill="auto"/>
        </w:rPr>
      </w:pPr>
      <w:r>
        <w:rPr>
          <w:rFonts w:hint="eastAsia" w:ascii="仿宋_GB2312"/>
          <w:color w:val="auto"/>
          <w:szCs w:val="30"/>
          <w:shd w:val="clear" w:color="auto" w:fill="auto"/>
        </w:rPr>
        <w:t>（六）其他收入：指除上述</w:t>
      </w:r>
      <w:r>
        <w:rPr>
          <w:rFonts w:ascii="仿宋_GB2312"/>
          <w:color w:val="auto"/>
          <w:szCs w:val="30"/>
          <w:shd w:val="clear" w:color="auto" w:fill="auto"/>
        </w:rPr>
        <w:t>“</w:t>
      </w:r>
      <w:r>
        <w:rPr>
          <w:rFonts w:hint="eastAsia" w:ascii="仿宋_GB2312"/>
          <w:color w:val="auto"/>
          <w:szCs w:val="30"/>
          <w:shd w:val="clear" w:color="auto" w:fill="auto"/>
        </w:rPr>
        <w:t>财政拨款收入</w:t>
      </w:r>
      <w:r>
        <w:rPr>
          <w:rFonts w:ascii="仿宋_GB2312"/>
          <w:color w:val="auto"/>
          <w:szCs w:val="30"/>
          <w:shd w:val="clear" w:color="auto" w:fill="auto"/>
        </w:rPr>
        <w:t>”</w:t>
      </w:r>
      <w:r>
        <w:rPr>
          <w:rFonts w:hint="eastAsia" w:ascii="仿宋_GB2312"/>
          <w:color w:val="auto"/>
          <w:szCs w:val="30"/>
          <w:shd w:val="clear" w:color="auto" w:fill="auto"/>
        </w:rPr>
        <w:t>、</w:t>
      </w:r>
      <w:r>
        <w:rPr>
          <w:rFonts w:ascii="仿宋_GB2312"/>
          <w:color w:val="auto"/>
          <w:szCs w:val="30"/>
          <w:shd w:val="clear" w:color="auto" w:fill="auto"/>
        </w:rPr>
        <w:t>“</w:t>
      </w:r>
      <w:r>
        <w:rPr>
          <w:rFonts w:hint="eastAsia" w:ascii="仿宋_GB2312"/>
          <w:color w:val="auto"/>
          <w:szCs w:val="30"/>
          <w:shd w:val="clear" w:color="auto" w:fill="auto"/>
        </w:rPr>
        <w:t>事业收入</w:t>
      </w:r>
      <w:r>
        <w:rPr>
          <w:rFonts w:ascii="仿宋_GB2312"/>
          <w:color w:val="auto"/>
          <w:szCs w:val="30"/>
          <w:shd w:val="clear" w:color="auto" w:fill="auto"/>
        </w:rPr>
        <w:t>”</w:t>
      </w:r>
      <w:r>
        <w:rPr>
          <w:rFonts w:hint="eastAsia" w:ascii="仿宋_GB2312"/>
          <w:color w:val="auto"/>
          <w:szCs w:val="30"/>
          <w:shd w:val="clear" w:color="auto" w:fill="auto"/>
        </w:rPr>
        <w:t>、</w:t>
      </w:r>
      <w:r>
        <w:rPr>
          <w:rFonts w:ascii="仿宋_GB2312"/>
          <w:color w:val="auto"/>
          <w:szCs w:val="30"/>
          <w:shd w:val="clear" w:color="auto" w:fill="auto"/>
        </w:rPr>
        <w:t>“</w:t>
      </w:r>
      <w:r>
        <w:rPr>
          <w:rFonts w:hint="eastAsia" w:ascii="仿宋_GB2312"/>
          <w:color w:val="auto"/>
          <w:szCs w:val="30"/>
          <w:shd w:val="clear" w:color="auto" w:fill="auto"/>
        </w:rPr>
        <w:t>经营收入</w:t>
      </w:r>
      <w:r>
        <w:rPr>
          <w:rFonts w:ascii="仿宋_GB2312"/>
          <w:color w:val="auto"/>
          <w:szCs w:val="30"/>
          <w:shd w:val="clear" w:color="auto" w:fill="auto"/>
        </w:rPr>
        <w:t>”</w:t>
      </w:r>
      <w:r>
        <w:rPr>
          <w:rFonts w:hint="eastAsia" w:ascii="仿宋_GB2312"/>
          <w:color w:val="auto"/>
          <w:szCs w:val="30"/>
          <w:shd w:val="clear" w:color="auto" w:fill="auto"/>
        </w:rPr>
        <w:t>、</w:t>
      </w:r>
      <w:r>
        <w:rPr>
          <w:rFonts w:ascii="仿宋_GB2312"/>
          <w:color w:val="auto"/>
          <w:szCs w:val="30"/>
          <w:shd w:val="clear" w:color="auto" w:fill="auto"/>
        </w:rPr>
        <w:t>“</w:t>
      </w:r>
      <w:r>
        <w:rPr>
          <w:rFonts w:hint="eastAsia" w:ascii="仿宋_GB2312"/>
          <w:color w:val="auto"/>
          <w:szCs w:val="30"/>
          <w:shd w:val="clear" w:color="auto" w:fill="auto"/>
        </w:rPr>
        <w:t>附属单位上缴收入</w:t>
      </w:r>
      <w:r>
        <w:rPr>
          <w:rFonts w:ascii="仿宋_GB2312"/>
          <w:color w:val="auto"/>
          <w:szCs w:val="30"/>
          <w:shd w:val="clear" w:color="auto" w:fill="auto"/>
        </w:rPr>
        <w:t>”</w:t>
      </w:r>
      <w:r>
        <w:rPr>
          <w:rFonts w:hint="eastAsia" w:ascii="仿宋_GB2312"/>
          <w:color w:val="auto"/>
          <w:szCs w:val="30"/>
          <w:shd w:val="clear" w:color="auto" w:fill="auto"/>
        </w:rPr>
        <w:t>等之外取得的收入。</w:t>
      </w:r>
    </w:p>
    <w:p>
      <w:pPr>
        <w:shd w:val="clear"/>
        <w:autoSpaceDE w:val="0"/>
        <w:autoSpaceDN w:val="0"/>
        <w:adjustRightInd w:val="0"/>
        <w:ind w:firstLine="600" w:firstLineChars="200"/>
        <w:rPr>
          <w:rFonts w:ascii="仿宋_GB2312"/>
          <w:color w:val="auto"/>
          <w:szCs w:val="30"/>
          <w:shd w:val="clear" w:color="auto" w:fill="auto"/>
        </w:rPr>
      </w:pPr>
      <w:r>
        <w:rPr>
          <w:rFonts w:hint="eastAsia" w:ascii="仿宋_GB2312"/>
          <w:color w:val="auto"/>
          <w:szCs w:val="30"/>
          <w:shd w:val="clear" w:color="auto" w:fill="auto"/>
        </w:rPr>
        <w:t>（七）非财政拨款结余：核算单位历年滚存的非限定用途的非同级财政拨款结余资金，主要为非财政拨款结余扣除结余分配后滚存的金额。</w:t>
      </w:r>
    </w:p>
    <w:p>
      <w:pPr>
        <w:shd w:val="clear"/>
        <w:autoSpaceDE w:val="0"/>
        <w:autoSpaceDN w:val="0"/>
        <w:adjustRightInd w:val="0"/>
        <w:ind w:firstLine="600" w:firstLineChars="200"/>
        <w:rPr>
          <w:rFonts w:ascii="仿宋_GB2312"/>
          <w:color w:val="auto"/>
          <w:szCs w:val="30"/>
          <w:shd w:val="clear" w:color="auto" w:fill="auto"/>
        </w:rPr>
      </w:pPr>
      <w:r>
        <w:rPr>
          <w:rFonts w:hint="eastAsia" w:ascii="仿宋_GB2312"/>
          <w:color w:val="auto"/>
          <w:szCs w:val="30"/>
          <w:shd w:val="clear" w:color="auto" w:fill="auto"/>
        </w:rPr>
        <w:t>（八）年初结转和结余：指单位以前年度尚未完成、结转到本年仍按原规定用途继续使用的资金，或项目已完成等产生的结余资金。</w:t>
      </w:r>
    </w:p>
    <w:p>
      <w:pPr>
        <w:shd w:val="clear"/>
        <w:ind w:firstLine="600" w:firstLineChars="200"/>
        <w:rPr>
          <w:rFonts w:hint="eastAsia"/>
          <w:color w:val="auto"/>
          <w:shd w:val="clear" w:color="auto" w:fill="auto"/>
        </w:rPr>
      </w:pPr>
      <w:r>
        <w:rPr>
          <w:rFonts w:hint="eastAsia"/>
          <w:color w:val="auto"/>
          <w:shd w:val="clear" w:color="auto" w:fill="auto"/>
        </w:rPr>
        <w:t>（九）结余分配：指事业单位本年度非财政拨款结余分配的情况。</w:t>
      </w:r>
    </w:p>
    <w:p>
      <w:pPr>
        <w:shd w:val="clear"/>
        <w:autoSpaceDE w:val="0"/>
        <w:autoSpaceDN w:val="0"/>
        <w:adjustRightInd w:val="0"/>
        <w:ind w:firstLine="600" w:firstLineChars="200"/>
        <w:rPr>
          <w:rFonts w:hint="eastAsia" w:ascii="仿宋_GB2312"/>
          <w:color w:val="auto"/>
          <w:szCs w:val="30"/>
          <w:shd w:val="clear" w:color="auto" w:fill="auto"/>
        </w:rPr>
      </w:pPr>
      <w:r>
        <w:rPr>
          <w:rFonts w:hint="eastAsia" w:ascii="仿宋_GB2312"/>
          <w:color w:val="auto"/>
          <w:szCs w:val="30"/>
          <w:shd w:val="clear" w:color="auto" w:fill="auto"/>
        </w:rPr>
        <w:t>（十）年末结转和结余：指单位本年度或以前年度预算安排、因客观条件发生变化未全部执行或未执行，结转到以后年度继续使用的资金，或项目已完成等产生的结余资金。</w:t>
      </w:r>
    </w:p>
    <w:p>
      <w:pPr>
        <w:shd w:val="clear"/>
        <w:autoSpaceDE w:val="0"/>
        <w:autoSpaceDN w:val="0"/>
        <w:adjustRightInd w:val="0"/>
        <w:ind w:firstLine="600" w:firstLineChars="200"/>
        <w:rPr>
          <w:rFonts w:ascii="仿宋_GB2312"/>
          <w:color w:val="auto"/>
          <w:szCs w:val="30"/>
          <w:shd w:val="clear" w:color="auto" w:fill="auto"/>
        </w:rPr>
      </w:pPr>
      <w:r>
        <w:rPr>
          <w:rFonts w:hint="eastAsia" w:ascii="仿宋_GB2312"/>
          <w:color w:val="auto"/>
          <w:szCs w:val="30"/>
          <w:shd w:val="clear" w:color="auto" w:fill="auto"/>
        </w:rPr>
        <w:t>（十一）基本支出：指为保障机构正常运转、完成日常工作任务而发生的人员支出和公用支出。</w:t>
      </w:r>
    </w:p>
    <w:p>
      <w:pPr>
        <w:shd w:val="clear"/>
        <w:autoSpaceDE w:val="0"/>
        <w:autoSpaceDN w:val="0"/>
        <w:adjustRightInd w:val="0"/>
        <w:ind w:firstLine="600" w:firstLineChars="200"/>
        <w:rPr>
          <w:rFonts w:ascii="仿宋_GB2312"/>
          <w:color w:val="auto"/>
          <w:szCs w:val="30"/>
          <w:shd w:val="clear" w:color="auto" w:fill="auto"/>
        </w:rPr>
      </w:pPr>
      <w:r>
        <w:rPr>
          <w:rFonts w:hint="eastAsia" w:ascii="仿宋_GB2312"/>
          <w:color w:val="auto"/>
          <w:szCs w:val="30"/>
          <w:shd w:val="clear" w:color="auto" w:fill="auto"/>
        </w:rPr>
        <w:t>（十二）项目支出：指在基本支出之外为完成特定行政任务和事业发展目标所发生的支出。</w:t>
      </w:r>
    </w:p>
    <w:p>
      <w:pPr>
        <w:shd w:val="clear"/>
        <w:autoSpaceDE w:val="0"/>
        <w:autoSpaceDN w:val="0"/>
        <w:adjustRightInd w:val="0"/>
        <w:ind w:firstLine="600" w:firstLineChars="200"/>
        <w:rPr>
          <w:rFonts w:ascii="仿宋_GB2312"/>
          <w:color w:val="auto"/>
          <w:szCs w:val="30"/>
          <w:shd w:val="clear" w:color="auto" w:fill="auto"/>
        </w:rPr>
      </w:pPr>
      <w:r>
        <w:rPr>
          <w:rFonts w:hint="eastAsia" w:ascii="仿宋_GB2312"/>
          <w:color w:val="auto"/>
          <w:szCs w:val="30"/>
          <w:shd w:val="clear" w:color="auto" w:fill="auto"/>
        </w:rPr>
        <w:t>（十三）经营支出：指事业单位在专业业务活动及其辅助活动之外开展非独立核算经营活动发生的支出。</w:t>
      </w:r>
    </w:p>
    <w:p>
      <w:pPr>
        <w:shd w:val="clear"/>
        <w:autoSpaceDE w:val="0"/>
        <w:autoSpaceDN w:val="0"/>
        <w:adjustRightInd w:val="0"/>
        <w:ind w:firstLine="600" w:firstLineChars="200"/>
        <w:rPr>
          <w:rFonts w:hint="eastAsia" w:ascii="仿宋_GB2312"/>
          <w:color w:val="auto"/>
          <w:szCs w:val="30"/>
          <w:shd w:val="clear" w:color="auto" w:fill="auto"/>
        </w:rPr>
      </w:pPr>
      <w:r>
        <w:rPr>
          <w:rFonts w:hint="eastAsia" w:ascii="仿宋_GB2312"/>
          <w:color w:val="auto"/>
          <w:szCs w:val="30"/>
          <w:shd w:val="clear" w:color="auto" w:fill="auto"/>
        </w:rPr>
        <w:t>（十四）对附属单位补助支出：指事业单位用财政拨款预算收入之外的收入对附属单位的补助支出。</w:t>
      </w:r>
    </w:p>
    <w:p>
      <w:pPr>
        <w:shd w:val="clear"/>
        <w:autoSpaceDE w:val="0"/>
        <w:autoSpaceDN w:val="0"/>
        <w:adjustRightInd w:val="0"/>
        <w:ind w:firstLine="600" w:firstLineChars="200"/>
        <w:rPr>
          <w:rFonts w:ascii="仿宋_GB2312"/>
          <w:color w:val="auto"/>
          <w:szCs w:val="30"/>
          <w:shd w:val="clear" w:color="auto" w:fill="auto"/>
        </w:rPr>
      </w:pPr>
      <w:r>
        <w:rPr>
          <w:rFonts w:hint="eastAsia" w:ascii="仿宋_GB2312"/>
          <w:color w:val="auto"/>
          <w:szCs w:val="30"/>
          <w:shd w:val="clear" w:color="auto" w:fill="auto"/>
        </w:rPr>
        <w:t>（十五）</w:t>
      </w:r>
      <w:r>
        <w:rPr>
          <w:rFonts w:ascii="仿宋_GB2312"/>
          <w:color w:val="auto"/>
          <w:szCs w:val="30"/>
          <w:shd w:val="clear" w:color="auto" w:fill="auto"/>
        </w:rPr>
        <w:t>“</w:t>
      </w:r>
      <w:r>
        <w:rPr>
          <w:rFonts w:hint="eastAsia" w:ascii="仿宋_GB2312"/>
          <w:color w:val="auto"/>
          <w:szCs w:val="30"/>
          <w:shd w:val="clear" w:color="auto" w:fill="auto"/>
        </w:rPr>
        <w:t>三公</w:t>
      </w:r>
      <w:r>
        <w:rPr>
          <w:rFonts w:ascii="仿宋_GB2312"/>
          <w:color w:val="auto"/>
          <w:szCs w:val="30"/>
          <w:shd w:val="clear" w:color="auto" w:fill="auto"/>
        </w:rPr>
        <w:t>”</w:t>
      </w:r>
      <w:r>
        <w:rPr>
          <w:rFonts w:hint="eastAsia" w:ascii="仿宋_GB2312"/>
          <w:color w:val="auto"/>
          <w:szCs w:val="30"/>
          <w:shd w:val="clear" w:color="auto" w:fill="auto"/>
        </w:rPr>
        <w:t>经费：纳入同级财政预决算管理的</w:t>
      </w:r>
      <w:r>
        <w:rPr>
          <w:rFonts w:ascii="仿宋_GB2312"/>
          <w:color w:val="auto"/>
          <w:szCs w:val="30"/>
          <w:shd w:val="clear" w:color="auto" w:fill="auto"/>
        </w:rPr>
        <w:t>“</w:t>
      </w:r>
      <w:r>
        <w:rPr>
          <w:rFonts w:hint="eastAsia" w:ascii="仿宋_GB2312"/>
          <w:color w:val="auto"/>
          <w:szCs w:val="30"/>
          <w:shd w:val="clear" w:color="auto" w:fill="auto"/>
        </w:rPr>
        <w:t>三公</w:t>
      </w:r>
      <w:r>
        <w:rPr>
          <w:rFonts w:ascii="仿宋_GB2312"/>
          <w:color w:val="auto"/>
          <w:szCs w:val="30"/>
          <w:shd w:val="clear" w:color="auto" w:fill="auto"/>
        </w:rPr>
        <w:t>”</w:t>
      </w:r>
      <w:r>
        <w:rPr>
          <w:rFonts w:hint="eastAsia" w:ascii="仿宋_GB2312"/>
          <w:color w:val="auto"/>
          <w:szCs w:val="30"/>
          <w:shd w:val="clear" w:color="auto" w:fill="auto"/>
        </w:rPr>
        <w:t>经费是指用一般公共预算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牌照费）及燃料费、维修费、过路过桥费、保险费、安全奖励费等支出；公务接待费反映单位按规定开支的各类公务接待（含外宾接待）费用。</w:t>
      </w:r>
    </w:p>
    <w:p>
      <w:pPr>
        <w:shd w:val="clear"/>
        <w:autoSpaceDE w:val="0"/>
        <w:autoSpaceDN w:val="0"/>
        <w:adjustRightInd w:val="0"/>
        <w:ind w:firstLine="600" w:firstLineChars="200"/>
        <w:rPr>
          <w:rFonts w:ascii="仿宋_GB2312"/>
          <w:color w:val="auto"/>
          <w:szCs w:val="30"/>
          <w:shd w:val="clear" w:color="auto" w:fill="auto"/>
        </w:rPr>
      </w:pPr>
      <w:r>
        <w:rPr>
          <w:rFonts w:hint="eastAsia" w:ascii="仿宋_GB2312"/>
          <w:color w:val="auto"/>
          <w:szCs w:val="30"/>
          <w:shd w:val="clear" w:color="auto" w:fill="auto"/>
        </w:rPr>
        <w:t>（十六）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hd w:val="clear"/>
        <w:autoSpaceDE w:val="0"/>
        <w:autoSpaceDN w:val="0"/>
        <w:adjustRightInd w:val="0"/>
        <w:ind w:firstLine="600" w:firstLineChars="200"/>
        <w:rPr>
          <w:rFonts w:hint="eastAsia" w:ascii="仿宋_GB2312"/>
          <w:color w:val="auto"/>
          <w:szCs w:val="30"/>
          <w:shd w:val="clear" w:color="auto" w:fill="auto"/>
        </w:rPr>
      </w:pPr>
      <w:r>
        <w:rPr>
          <w:rFonts w:hint="eastAsia"/>
          <w:color w:val="auto"/>
          <w:shd w:val="clear" w:color="auto" w:fill="auto"/>
        </w:rPr>
        <w:t>（十七）</w:t>
      </w:r>
      <w:r>
        <w:rPr>
          <w:rFonts w:hint="eastAsia" w:ascii="仿宋_GB2312"/>
          <w:color w:val="auto"/>
          <w:szCs w:val="30"/>
          <w:shd w:val="clear" w:color="auto" w:fill="auto"/>
        </w:rPr>
        <w:t>一般公共服务支出（类）</w:t>
      </w:r>
      <w:r>
        <w:rPr>
          <w:rFonts w:hint="eastAsia" w:ascii="仿宋_GB2312"/>
          <w:color w:val="auto"/>
          <w:szCs w:val="30"/>
          <w:shd w:val="clear" w:color="auto" w:fill="auto"/>
          <w:lang w:eastAsia="zh-CN"/>
        </w:rPr>
        <w:t>人大事务</w:t>
      </w:r>
      <w:r>
        <w:rPr>
          <w:rFonts w:hint="eastAsia" w:ascii="仿宋_GB2312"/>
          <w:color w:val="auto"/>
          <w:szCs w:val="30"/>
          <w:shd w:val="clear" w:color="auto" w:fill="auto"/>
        </w:rPr>
        <w:t>（款）</w:t>
      </w:r>
      <w:r>
        <w:rPr>
          <w:rFonts w:hint="eastAsia" w:ascii="仿宋_GB2312"/>
          <w:color w:val="auto"/>
          <w:szCs w:val="30"/>
          <w:shd w:val="clear" w:color="auto" w:fill="auto"/>
          <w:lang w:eastAsia="zh-CN"/>
        </w:rPr>
        <w:t>行政运行</w:t>
      </w:r>
      <w:r>
        <w:rPr>
          <w:rFonts w:hint="eastAsia" w:ascii="仿宋_GB2312"/>
          <w:color w:val="auto"/>
          <w:szCs w:val="30"/>
          <w:shd w:val="clear" w:color="auto" w:fill="auto"/>
        </w:rPr>
        <w:t>（项）：反映行政单位（包括实行公务员管理的事业单位）</w:t>
      </w:r>
      <w:r>
        <w:rPr>
          <w:rFonts w:hint="eastAsia" w:ascii="仿宋_GB2312"/>
          <w:color w:val="auto"/>
          <w:szCs w:val="30"/>
          <w:shd w:val="clear" w:color="auto" w:fill="auto"/>
          <w:lang w:eastAsia="zh-CN"/>
        </w:rPr>
        <w:t>的基本支出</w:t>
      </w:r>
      <w:r>
        <w:rPr>
          <w:rFonts w:hint="eastAsia" w:ascii="仿宋_GB2312"/>
          <w:color w:val="auto"/>
          <w:szCs w:val="30"/>
          <w:shd w:val="clear" w:color="auto" w:fill="auto"/>
        </w:rPr>
        <w:t>。</w:t>
      </w:r>
    </w:p>
    <w:p>
      <w:pPr>
        <w:shd w:val="clear"/>
        <w:autoSpaceDE w:val="0"/>
        <w:autoSpaceDN w:val="0"/>
        <w:adjustRightInd w:val="0"/>
        <w:ind w:firstLine="600" w:firstLineChars="200"/>
        <w:rPr>
          <w:rFonts w:hint="eastAsia" w:ascii="仿宋_GB2312"/>
          <w:color w:val="auto"/>
          <w:szCs w:val="30"/>
          <w:shd w:val="clear" w:color="auto" w:fill="auto"/>
        </w:rPr>
      </w:pPr>
      <w:r>
        <w:rPr>
          <w:rFonts w:hint="eastAsia" w:ascii="仿宋_GB2312"/>
          <w:color w:val="auto"/>
          <w:szCs w:val="30"/>
          <w:shd w:val="clear" w:color="auto" w:fill="auto"/>
        </w:rPr>
        <w:t>（十八）文化旅游体育与传媒支出（类）新闻出版电影（款）出版发行（项）：反映图书、报纸、期刊、音像、电子、网络出版物、印刷复制和发行等方面的支出。</w:t>
      </w:r>
    </w:p>
    <w:p>
      <w:pPr>
        <w:shd w:val="clear"/>
        <w:autoSpaceDE w:val="0"/>
        <w:autoSpaceDN w:val="0"/>
        <w:adjustRightInd w:val="0"/>
        <w:ind w:firstLine="600" w:firstLineChars="200"/>
        <w:rPr>
          <w:rFonts w:hint="eastAsia" w:ascii="仿宋_GB2312"/>
          <w:color w:val="auto"/>
          <w:szCs w:val="30"/>
          <w:shd w:val="clear" w:color="auto" w:fill="auto"/>
        </w:rPr>
      </w:pPr>
      <w:r>
        <w:rPr>
          <w:rFonts w:hint="eastAsia" w:ascii="仿宋_GB2312"/>
          <w:color w:val="auto"/>
          <w:szCs w:val="30"/>
          <w:shd w:val="clear" w:color="auto" w:fill="auto"/>
        </w:rPr>
        <w:t>（十九）社会保障和就业支出（类）其他社会保障和就业支出（款）其他社会保障和就业支出（项）：反映其他用于社会保障和就业方面的支出。</w:t>
      </w:r>
    </w:p>
    <w:p>
      <w:pPr>
        <w:shd w:val="clear"/>
        <w:autoSpaceDE w:val="0"/>
        <w:autoSpaceDN w:val="0"/>
        <w:adjustRightInd w:val="0"/>
        <w:ind w:firstLine="600" w:firstLineChars="200"/>
        <w:rPr>
          <w:rFonts w:hint="eastAsia" w:ascii="仿宋_GB2312"/>
          <w:color w:val="auto"/>
          <w:szCs w:val="30"/>
          <w:shd w:val="clear" w:color="auto" w:fill="auto"/>
        </w:rPr>
      </w:pPr>
      <w:r>
        <w:rPr>
          <w:rFonts w:hint="eastAsia" w:ascii="仿宋_GB2312"/>
          <w:color w:val="auto"/>
          <w:szCs w:val="30"/>
          <w:shd w:val="clear" w:color="auto" w:fill="auto"/>
        </w:rPr>
        <w:t>（二十）卫生健康支出（类）行政事业单位医疗（款）事业单位医疗（项）：反映财政部门安排的事业单位基本医疗保险缴费经费，未参加医疗保险的事业单位的公费医疗经费，按国家规定享受离休人员的医疗经费。</w:t>
      </w:r>
    </w:p>
    <w:p>
      <w:pPr>
        <w:shd w:val="clear"/>
        <w:autoSpaceDE w:val="0"/>
        <w:autoSpaceDN w:val="0"/>
        <w:adjustRightInd w:val="0"/>
        <w:ind w:firstLine="600" w:firstLineChars="200"/>
        <w:rPr>
          <w:rFonts w:hint="eastAsia" w:ascii="仿宋_GB2312"/>
          <w:color w:val="auto"/>
          <w:szCs w:val="30"/>
          <w:shd w:val="clear" w:color="auto" w:fill="auto"/>
        </w:rPr>
      </w:pPr>
      <w:r>
        <w:rPr>
          <w:rFonts w:hint="eastAsia" w:ascii="仿宋_GB2312"/>
          <w:color w:val="auto"/>
          <w:szCs w:val="30"/>
          <w:shd w:val="clear" w:color="auto" w:fill="auto"/>
        </w:rPr>
        <w:t>（二十一）卫生健康支出（类）行政事业单位医疗（款）公务员医疗补助（项）：反映财政部门安排的公务员医疗补助经费。</w:t>
      </w:r>
    </w:p>
    <w:p>
      <w:pPr>
        <w:shd w:val="clear"/>
        <w:autoSpaceDE w:val="0"/>
        <w:autoSpaceDN w:val="0"/>
        <w:adjustRightInd w:val="0"/>
        <w:ind w:firstLine="600" w:firstLineChars="200"/>
        <w:rPr>
          <w:rFonts w:hint="eastAsia" w:ascii="仿宋_GB2312"/>
          <w:color w:val="auto"/>
          <w:szCs w:val="30"/>
          <w:shd w:val="clear" w:color="auto" w:fill="auto"/>
        </w:rPr>
      </w:pPr>
      <w:r>
        <w:rPr>
          <w:rFonts w:hint="eastAsia" w:ascii="仿宋_GB2312"/>
          <w:color w:val="auto"/>
          <w:szCs w:val="30"/>
          <w:shd w:val="clear" w:color="auto" w:fill="auto"/>
        </w:rPr>
        <w:t>（二十二）住房保障支出（类）住房改革支出（款）住房公积金 （项）：反映行政事业单位按人力资源和社会保障部、财政部规定的基本工资和津贴补贴以及规定比例为职工缴纳的住房公积金。</w:t>
      </w:r>
    </w:p>
    <w:sectPr>
      <w:headerReference r:id="rId3" w:type="default"/>
      <w:footerReference r:id="rId4" w:type="default"/>
      <w:pgSz w:w="11906" w:h="16838"/>
      <w:pgMar w:top="1418" w:right="1418" w:bottom="1418" w:left="1418"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Style w:val="17"/>
                            </w:rPr>
                          </w:pPr>
                          <w:r>
                            <w:fldChar w:fldCharType="begin"/>
                          </w:r>
                          <w:r>
                            <w:rPr>
                              <w:rStyle w:val="17"/>
                            </w:rPr>
                            <w:instrText xml:space="preserve">PAGE  </w:instrText>
                          </w:r>
                          <w:r>
                            <w:fldChar w:fldCharType="separate"/>
                          </w:r>
                          <w:r>
                            <w:rPr>
                              <w:rStyle w:val="17"/>
                            </w:rP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8"/>
                      <w:rPr>
                        <w:rStyle w:val="17"/>
                      </w:rPr>
                    </w:pPr>
                    <w:r>
                      <w:fldChar w:fldCharType="begin"/>
                    </w:r>
                    <w:r>
                      <w:rPr>
                        <w:rStyle w:val="17"/>
                      </w:rPr>
                      <w:instrText xml:space="preserve">PAGE  </w:instrText>
                    </w:r>
                    <w:r>
                      <w:fldChar w:fldCharType="separate"/>
                    </w:r>
                    <w:r>
                      <w:rPr>
                        <w:rStyle w:val="17"/>
                      </w:rP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iMGZlYjQ2ZDljOTA2MjU4ZTQ4ODk1M2E1YTE1MzUifQ=="/>
  </w:docVars>
  <w:rsids>
    <w:rsidRoot w:val="00EC49B6"/>
    <w:rsid w:val="00000C2D"/>
    <w:rsid w:val="0000107D"/>
    <w:rsid w:val="0000602C"/>
    <w:rsid w:val="000106B8"/>
    <w:rsid w:val="00012DB9"/>
    <w:rsid w:val="00023EC7"/>
    <w:rsid w:val="0002681A"/>
    <w:rsid w:val="00026D9B"/>
    <w:rsid w:val="00031889"/>
    <w:rsid w:val="00032760"/>
    <w:rsid w:val="00034DD2"/>
    <w:rsid w:val="00037D83"/>
    <w:rsid w:val="0005787F"/>
    <w:rsid w:val="00067B8D"/>
    <w:rsid w:val="00070629"/>
    <w:rsid w:val="0007132E"/>
    <w:rsid w:val="00072CF6"/>
    <w:rsid w:val="000736B7"/>
    <w:rsid w:val="000751EB"/>
    <w:rsid w:val="00076CDE"/>
    <w:rsid w:val="00077576"/>
    <w:rsid w:val="00084071"/>
    <w:rsid w:val="0008670D"/>
    <w:rsid w:val="00087A01"/>
    <w:rsid w:val="00092687"/>
    <w:rsid w:val="00092C98"/>
    <w:rsid w:val="0009563C"/>
    <w:rsid w:val="00095849"/>
    <w:rsid w:val="00096080"/>
    <w:rsid w:val="000A6075"/>
    <w:rsid w:val="000B4DFC"/>
    <w:rsid w:val="000C734F"/>
    <w:rsid w:val="000D1AA8"/>
    <w:rsid w:val="000F38B4"/>
    <w:rsid w:val="000F3B4D"/>
    <w:rsid w:val="000F4A48"/>
    <w:rsid w:val="000F63B0"/>
    <w:rsid w:val="000F6E3A"/>
    <w:rsid w:val="000F789A"/>
    <w:rsid w:val="00102310"/>
    <w:rsid w:val="00103160"/>
    <w:rsid w:val="001100E8"/>
    <w:rsid w:val="00115A3A"/>
    <w:rsid w:val="00127A36"/>
    <w:rsid w:val="001370E0"/>
    <w:rsid w:val="0014160B"/>
    <w:rsid w:val="001428DA"/>
    <w:rsid w:val="00143068"/>
    <w:rsid w:val="00144464"/>
    <w:rsid w:val="00146A86"/>
    <w:rsid w:val="00147433"/>
    <w:rsid w:val="001501DA"/>
    <w:rsid w:val="00156328"/>
    <w:rsid w:val="001675B3"/>
    <w:rsid w:val="0017345F"/>
    <w:rsid w:val="00174A61"/>
    <w:rsid w:val="001758CC"/>
    <w:rsid w:val="001806B9"/>
    <w:rsid w:val="00180DD2"/>
    <w:rsid w:val="00182AF7"/>
    <w:rsid w:val="00183AB2"/>
    <w:rsid w:val="00187900"/>
    <w:rsid w:val="00191787"/>
    <w:rsid w:val="00192174"/>
    <w:rsid w:val="0019219C"/>
    <w:rsid w:val="0019265E"/>
    <w:rsid w:val="00197A7B"/>
    <w:rsid w:val="001A4656"/>
    <w:rsid w:val="001B2C62"/>
    <w:rsid w:val="001B56C6"/>
    <w:rsid w:val="001C6650"/>
    <w:rsid w:val="001D089A"/>
    <w:rsid w:val="001D2BA7"/>
    <w:rsid w:val="001D571F"/>
    <w:rsid w:val="001D6DD0"/>
    <w:rsid w:val="001E2659"/>
    <w:rsid w:val="001E3203"/>
    <w:rsid w:val="001F4CF1"/>
    <w:rsid w:val="00201919"/>
    <w:rsid w:val="00204D6A"/>
    <w:rsid w:val="0021482C"/>
    <w:rsid w:val="00215F51"/>
    <w:rsid w:val="00216C11"/>
    <w:rsid w:val="00216CD6"/>
    <w:rsid w:val="0022368B"/>
    <w:rsid w:val="0024520B"/>
    <w:rsid w:val="00245B86"/>
    <w:rsid w:val="0024768E"/>
    <w:rsid w:val="00250C5E"/>
    <w:rsid w:val="00254EC3"/>
    <w:rsid w:val="002677A6"/>
    <w:rsid w:val="00272FD2"/>
    <w:rsid w:val="00275D3F"/>
    <w:rsid w:val="002801F1"/>
    <w:rsid w:val="00281636"/>
    <w:rsid w:val="00283123"/>
    <w:rsid w:val="002877E2"/>
    <w:rsid w:val="00290DB4"/>
    <w:rsid w:val="0029362F"/>
    <w:rsid w:val="002A402F"/>
    <w:rsid w:val="002A5A08"/>
    <w:rsid w:val="002A63AB"/>
    <w:rsid w:val="002B4BB2"/>
    <w:rsid w:val="002B736E"/>
    <w:rsid w:val="002C1975"/>
    <w:rsid w:val="002C6C39"/>
    <w:rsid w:val="002C726B"/>
    <w:rsid w:val="002C7C1C"/>
    <w:rsid w:val="002C7F2D"/>
    <w:rsid w:val="002D2742"/>
    <w:rsid w:val="002D6B85"/>
    <w:rsid w:val="002D709A"/>
    <w:rsid w:val="002E17EC"/>
    <w:rsid w:val="002E3355"/>
    <w:rsid w:val="002E6613"/>
    <w:rsid w:val="002F0329"/>
    <w:rsid w:val="002F0DDF"/>
    <w:rsid w:val="002F289E"/>
    <w:rsid w:val="002F3652"/>
    <w:rsid w:val="002F38A4"/>
    <w:rsid w:val="003029FE"/>
    <w:rsid w:val="00306B72"/>
    <w:rsid w:val="003113B4"/>
    <w:rsid w:val="003178EC"/>
    <w:rsid w:val="00320683"/>
    <w:rsid w:val="00322B4C"/>
    <w:rsid w:val="0032443B"/>
    <w:rsid w:val="003254C4"/>
    <w:rsid w:val="00327A7A"/>
    <w:rsid w:val="00330B4F"/>
    <w:rsid w:val="00340284"/>
    <w:rsid w:val="00341A4B"/>
    <w:rsid w:val="00342B64"/>
    <w:rsid w:val="0034302A"/>
    <w:rsid w:val="00344CD9"/>
    <w:rsid w:val="003458E1"/>
    <w:rsid w:val="00353F95"/>
    <w:rsid w:val="003559F9"/>
    <w:rsid w:val="0036386B"/>
    <w:rsid w:val="00367C1D"/>
    <w:rsid w:val="003714BC"/>
    <w:rsid w:val="0038377C"/>
    <w:rsid w:val="0038634F"/>
    <w:rsid w:val="003872AC"/>
    <w:rsid w:val="00394D31"/>
    <w:rsid w:val="00394D49"/>
    <w:rsid w:val="003A1BAC"/>
    <w:rsid w:val="003A4DBE"/>
    <w:rsid w:val="003B17FC"/>
    <w:rsid w:val="003B7090"/>
    <w:rsid w:val="003C0B45"/>
    <w:rsid w:val="003C4080"/>
    <w:rsid w:val="003C5F64"/>
    <w:rsid w:val="003D1274"/>
    <w:rsid w:val="0041457A"/>
    <w:rsid w:val="00414F7C"/>
    <w:rsid w:val="00423509"/>
    <w:rsid w:val="00425087"/>
    <w:rsid w:val="00426B9C"/>
    <w:rsid w:val="00437E1B"/>
    <w:rsid w:val="00440BEF"/>
    <w:rsid w:val="004553B1"/>
    <w:rsid w:val="0046082C"/>
    <w:rsid w:val="0046113D"/>
    <w:rsid w:val="00463F79"/>
    <w:rsid w:val="0046473E"/>
    <w:rsid w:val="00475A0B"/>
    <w:rsid w:val="00484316"/>
    <w:rsid w:val="00485E2E"/>
    <w:rsid w:val="00485FAE"/>
    <w:rsid w:val="00486317"/>
    <w:rsid w:val="00486961"/>
    <w:rsid w:val="0048790E"/>
    <w:rsid w:val="00492C4C"/>
    <w:rsid w:val="00494EFA"/>
    <w:rsid w:val="0049614F"/>
    <w:rsid w:val="004967A7"/>
    <w:rsid w:val="00496CB7"/>
    <w:rsid w:val="00496E6A"/>
    <w:rsid w:val="004A002A"/>
    <w:rsid w:val="004A0295"/>
    <w:rsid w:val="004A0774"/>
    <w:rsid w:val="004A098D"/>
    <w:rsid w:val="004A3B28"/>
    <w:rsid w:val="004A75B2"/>
    <w:rsid w:val="004A7686"/>
    <w:rsid w:val="004B2333"/>
    <w:rsid w:val="004C1161"/>
    <w:rsid w:val="004C12C3"/>
    <w:rsid w:val="004C130D"/>
    <w:rsid w:val="004C795D"/>
    <w:rsid w:val="004D48AF"/>
    <w:rsid w:val="004D49FE"/>
    <w:rsid w:val="004E3D6C"/>
    <w:rsid w:val="004E5F99"/>
    <w:rsid w:val="004F1A8C"/>
    <w:rsid w:val="004F36D4"/>
    <w:rsid w:val="004F71AE"/>
    <w:rsid w:val="004F7532"/>
    <w:rsid w:val="00500ADF"/>
    <w:rsid w:val="005013DF"/>
    <w:rsid w:val="00501FA1"/>
    <w:rsid w:val="005038CC"/>
    <w:rsid w:val="0050554C"/>
    <w:rsid w:val="00526FB7"/>
    <w:rsid w:val="00534323"/>
    <w:rsid w:val="00536BF3"/>
    <w:rsid w:val="005419B6"/>
    <w:rsid w:val="00543E30"/>
    <w:rsid w:val="00544798"/>
    <w:rsid w:val="005456D1"/>
    <w:rsid w:val="00545F4E"/>
    <w:rsid w:val="00546D2E"/>
    <w:rsid w:val="00547CB8"/>
    <w:rsid w:val="00553795"/>
    <w:rsid w:val="00555D78"/>
    <w:rsid w:val="00556275"/>
    <w:rsid w:val="00556FAA"/>
    <w:rsid w:val="00557971"/>
    <w:rsid w:val="005646F7"/>
    <w:rsid w:val="00565D40"/>
    <w:rsid w:val="00574CE7"/>
    <w:rsid w:val="00580515"/>
    <w:rsid w:val="00581E32"/>
    <w:rsid w:val="00587747"/>
    <w:rsid w:val="00587D20"/>
    <w:rsid w:val="005941B1"/>
    <w:rsid w:val="00596437"/>
    <w:rsid w:val="005B146B"/>
    <w:rsid w:val="005C041D"/>
    <w:rsid w:val="005C1A41"/>
    <w:rsid w:val="005C4F0A"/>
    <w:rsid w:val="005E3A58"/>
    <w:rsid w:val="005E4F8B"/>
    <w:rsid w:val="005E6476"/>
    <w:rsid w:val="005F2268"/>
    <w:rsid w:val="005F4875"/>
    <w:rsid w:val="00604E7E"/>
    <w:rsid w:val="00616122"/>
    <w:rsid w:val="00621432"/>
    <w:rsid w:val="0062648E"/>
    <w:rsid w:val="00630EC7"/>
    <w:rsid w:val="00632857"/>
    <w:rsid w:val="00633DDC"/>
    <w:rsid w:val="0064205D"/>
    <w:rsid w:val="00643E09"/>
    <w:rsid w:val="00646D39"/>
    <w:rsid w:val="00650833"/>
    <w:rsid w:val="00652BC8"/>
    <w:rsid w:val="00657D4B"/>
    <w:rsid w:val="006629D8"/>
    <w:rsid w:val="006662DA"/>
    <w:rsid w:val="00667EAB"/>
    <w:rsid w:val="00685214"/>
    <w:rsid w:val="0068663F"/>
    <w:rsid w:val="00692B56"/>
    <w:rsid w:val="006932EE"/>
    <w:rsid w:val="006A5BBD"/>
    <w:rsid w:val="006A6DF2"/>
    <w:rsid w:val="006B01ED"/>
    <w:rsid w:val="006B0C3F"/>
    <w:rsid w:val="006B441A"/>
    <w:rsid w:val="006C03B6"/>
    <w:rsid w:val="006C301B"/>
    <w:rsid w:val="006C3995"/>
    <w:rsid w:val="006C4BE6"/>
    <w:rsid w:val="006C5D5C"/>
    <w:rsid w:val="006D3D9D"/>
    <w:rsid w:val="006D5850"/>
    <w:rsid w:val="006D6EE9"/>
    <w:rsid w:val="006E0E39"/>
    <w:rsid w:val="006F7938"/>
    <w:rsid w:val="006F7FD8"/>
    <w:rsid w:val="007009ED"/>
    <w:rsid w:val="00704310"/>
    <w:rsid w:val="0070455A"/>
    <w:rsid w:val="007123EB"/>
    <w:rsid w:val="00716BC1"/>
    <w:rsid w:val="00722BD4"/>
    <w:rsid w:val="00727D00"/>
    <w:rsid w:val="00733D43"/>
    <w:rsid w:val="00744A5A"/>
    <w:rsid w:val="0076015A"/>
    <w:rsid w:val="0077299F"/>
    <w:rsid w:val="0078493A"/>
    <w:rsid w:val="00793DD9"/>
    <w:rsid w:val="00795D43"/>
    <w:rsid w:val="00797E25"/>
    <w:rsid w:val="007A1E8A"/>
    <w:rsid w:val="007A5772"/>
    <w:rsid w:val="007B1723"/>
    <w:rsid w:val="007B1C2B"/>
    <w:rsid w:val="007B2D02"/>
    <w:rsid w:val="007B5470"/>
    <w:rsid w:val="007B7D33"/>
    <w:rsid w:val="007C135C"/>
    <w:rsid w:val="007C3F09"/>
    <w:rsid w:val="007C4CB3"/>
    <w:rsid w:val="007C64AA"/>
    <w:rsid w:val="007C7BE6"/>
    <w:rsid w:val="007D27B7"/>
    <w:rsid w:val="007D35D8"/>
    <w:rsid w:val="007E13B0"/>
    <w:rsid w:val="007E6B21"/>
    <w:rsid w:val="007E7772"/>
    <w:rsid w:val="007E7B99"/>
    <w:rsid w:val="007F135E"/>
    <w:rsid w:val="00801DE7"/>
    <w:rsid w:val="00821D1C"/>
    <w:rsid w:val="00824C53"/>
    <w:rsid w:val="00834292"/>
    <w:rsid w:val="00840C5A"/>
    <w:rsid w:val="00840F0D"/>
    <w:rsid w:val="00844D13"/>
    <w:rsid w:val="00844E72"/>
    <w:rsid w:val="00856CA4"/>
    <w:rsid w:val="008623B9"/>
    <w:rsid w:val="00862886"/>
    <w:rsid w:val="00865579"/>
    <w:rsid w:val="008725BA"/>
    <w:rsid w:val="00873A41"/>
    <w:rsid w:val="008876C0"/>
    <w:rsid w:val="00895F89"/>
    <w:rsid w:val="00897F38"/>
    <w:rsid w:val="008A0EDB"/>
    <w:rsid w:val="008A2773"/>
    <w:rsid w:val="008B766A"/>
    <w:rsid w:val="008B77CB"/>
    <w:rsid w:val="008C0027"/>
    <w:rsid w:val="008C115F"/>
    <w:rsid w:val="008C3160"/>
    <w:rsid w:val="008C5648"/>
    <w:rsid w:val="008D224A"/>
    <w:rsid w:val="008D5D29"/>
    <w:rsid w:val="008D676F"/>
    <w:rsid w:val="008E1784"/>
    <w:rsid w:val="008E284C"/>
    <w:rsid w:val="008E38CE"/>
    <w:rsid w:val="008F3F48"/>
    <w:rsid w:val="008F7C05"/>
    <w:rsid w:val="00903656"/>
    <w:rsid w:val="00907C01"/>
    <w:rsid w:val="00920D12"/>
    <w:rsid w:val="00921C6B"/>
    <w:rsid w:val="009340F3"/>
    <w:rsid w:val="00935090"/>
    <w:rsid w:val="009422BE"/>
    <w:rsid w:val="00942F59"/>
    <w:rsid w:val="00957E6A"/>
    <w:rsid w:val="009629C5"/>
    <w:rsid w:val="00970EFC"/>
    <w:rsid w:val="0097105F"/>
    <w:rsid w:val="00977767"/>
    <w:rsid w:val="0098120E"/>
    <w:rsid w:val="009844AF"/>
    <w:rsid w:val="00995F65"/>
    <w:rsid w:val="00996168"/>
    <w:rsid w:val="009A1817"/>
    <w:rsid w:val="009A6184"/>
    <w:rsid w:val="009B1EF0"/>
    <w:rsid w:val="009B42BB"/>
    <w:rsid w:val="009C5833"/>
    <w:rsid w:val="009C5B44"/>
    <w:rsid w:val="009C6D03"/>
    <w:rsid w:val="009C7F03"/>
    <w:rsid w:val="009D6594"/>
    <w:rsid w:val="009D734E"/>
    <w:rsid w:val="009E5EBE"/>
    <w:rsid w:val="009E6379"/>
    <w:rsid w:val="009F060A"/>
    <w:rsid w:val="009F10A4"/>
    <w:rsid w:val="009F732C"/>
    <w:rsid w:val="00A00243"/>
    <w:rsid w:val="00A02467"/>
    <w:rsid w:val="00A0523F"/>
    <w:rsid w:val="00A12B82"/>
    <w:rsid w:val="00A153A0"/>
    <w:rsid w:val="00A176CB"/>
    <w:rsid w:val="00A17F16"/>
    <w:rsid w:val="00A2613B"/>
    <w:rsid w:val="00A27280"/>
    <w:rsid w:val="00A30597"/>
    <w:rsid w:val="00A33594"/>
    <w:rsid w:val="00A36281"/>
    <w:rsid w:val="00A40143"/>
    <w:rsid w:val="00A40BFF"/>
    <w:rsid w:val="00A53870"/>
    <w:rsid w:val="00A56FA0"/>
    <w:rsid w:val="00A66754"/>
    <w:rsid w:val="00A6717B"/>
    <w:rsid w:val="00A72A28"/>
    <w:rsid w:val="00A749BD"/>
    <w:rsid w:val="00A754E9"/>
    <w:rsid w:val="00A77460"/>
    <w:rsid w:val="00A77F9D"/>
    <w:rsid w:val="00A903C7"/>
    <w:rsid w:val="00A90837"/>
    <w:rsid w:val="00AA4D9C"/>
    <w:rsid w:val="00AB0F82"/>
    <w:rsid w:val="00AB7BD8"/>
    <w:rsid w:val="00AC1B51"/>
    <w:rsid w:val="00AC7435"/>
    <w:rsid w:val="00AC7FB5"/>
    <w:rsid w:val="00AD6587"/>
    <w:rsid w:val="00AD70EA"/>
    <w:rsid w:val="00AE0F38"/>
    <w:rsid w:val="00AF4B93"/>
    <w:rsid w:val="00AF756C"/>
    <w:rsid w:val="00B038F7"/>
    <w:rsid w:val="00B04951"/>
    <w:rsid w:val="00B05410"/>
    <w:rsid w:val="00B15142"/>
    <w:rsid w:val="00B239EE"/>
    <w:rsid w:val="00B2404C"/>
    <w:rsid w:val="00B358CA"/>
    <w:rsid w:val="00B35B04"/>
    <w:rsid w:val="00B44A4E"/>
    <w:rsid w:val="00B52BCE"/>
    <w:rsid w:val="00B66282"/>
    <w:rsid w:val="00B67938"/>
    <w:rsid w:val="00B72AD0"/>
    <w:rsid w:val="00B77FFB"/>
    <w:rsid w:val="00B80500"/>
    <w:rsid w:val="00B8104A"/>
    <w:rsid w:val="00B8475A"/>
    <w:rsid w:val="00B85C99"/>
    <w:rsid w:val="00B872D5"/>
    <w:rsid w:val="00B91BF1"/>
    <w:rsid w:val="00B94156"/>
    <w:rsid w:val="00B94D14"/>
    <w:rsid w:val="00BA2821"/>
    <w:rsid w:val="00BB6D0F"/>
    <w:rsid w:val="00BB7CF1"/>
    <w:rsid w:val="00BC0852"/>
    <w:rsid w:val="00BC50B5"/>
    <w:rsid w:val="00BD0CAD"/>
    <w:rsid w:val="00BD50A0"/>
    <w:rsid w:val="00BD56C5"/>
    <w:rsid w:val="00BD595C"/>
    <w:rsid w:val="00BE5BEA"/>
    <w:rsid w:val="00BE70D3"/>
    <w:rsid w:val="00C01B17"/>
    <w:rsid w:val="00C029D9"/>
    <w:rsid w:val="00C0300C"/>
    <w:rsid w:val="00C04F08"/>
    <w:rsid w:val="00C0507E"/>
    <w:rsid w:val="00C11421"/>
    <w:rsid w:val="00C1158C"/>
    <w:rsid w:val="00C2086D"/>
    <w:rsid w:val="00C2188E"/>
    <w:rsid w:val="00C25576"/>
    <w:rsid w:val="00C412F2"/>
    <w:rsid w:val="00C50D4A"/>
    <w:rsid w:val="00C52A18"/>
    <w:rsid w:val="00C6361C"/>
    <w:rsid w:val="00C72C07"/>
    <w:rsid w:val="00C843B0"/>
    <w:rsid w:val="00C90171"/>
    <w:rsid w:val="00C93217"/>
    <w:rsid w:val="00CA0FB5"/>
    <w:rsid w:val="00CA47BD"/>
    <w:rsid w:val="00CB449B"/>
    <w:rsid w:val="00CB76B5"/>
    <w:rsid w:val="00CC0376"/>
    <w:rsid w:val="00CC10F0"/>
    <w:rsid w:val="00CC2692"/>
    <w:rsid w:val="00CC34DF"/>
    <w:rsid w:val="00CC3C4E"/>
    <w:rsid w:val="00CC54DA"/>
    <w:rsid w:val="00CC78BC"/>
    <w:rsid w:val="00CD6F11"/>
    <w:rsid w:val="00CE054E"/>
    <w:rsid w:val="00CF0398"/>
    <w:rsid w:val="00D04F2A"/>
    <w:rsid w:val="00D05122"/>
    <w:rsid w:val="00D056B5"/>
    <w:rsid w:val="00D0649C"/>
    <w:rsid w:val="00D11791"/>
    <w:rsid w:val="00D13ED2"/>
    <w:rsid w:val="00D15673"/>
    <w:rsid w:val="00D21F6A"/>
    <w:rsid w:val="00D22BF3"/>
    <w:rsid w:val="00D23136"/>
    <w:rsid w:val="00D25A65"/>
    <w:rsid w:val="00D363E4"/>
    <w:rsid w:val="00D430DE"/>
    <w:rsid w:val="00D443EE"/>
    <w:rsid w:val="00D45BC8"/>
    <w:rsid w:val="00D556A9"/>
    <w:rsid w:val="00D557F9"/>
    <w:rsid w:val="00D5589F"/>
    <w:rsid w:val="00D61F9E"/>
    <w:rsid w:val="00D6365F"/>
    <w:rsid w:val="00D64A9D"/>
    <w:rsid w:val="00D65FEF"/>
    <w:rsid w:val="00D73A17"/>
    <w:rsid w:val="00D84ECF"/>
    <w:rsid w:val="00D908D0"/>
    <w:rsid w:val="00D977E2"/>
    <w:rsid w:val="00DB1B65"/>
    <w:rsid w:val="00DB23C6"/>
    <w:rsid w:val="00DB4BF7"/>
    <w:rsid w:val="00DB4F7B"/>
    <w:rsid w:val="00DB65EB"/>
    <w:rsid w:val="00DC271A"/>
    <w:rsid w:val="00DC2F73"/>
    <w:rsid w:val="00DC303F"/>
    <w:rsid w:val="00DC45B6"/>
    <w:rsid w:val="00DD38CA"/>
    <w:rsid w:val="00DD3D1B"/>
    <w:rsid w:val="00DD6A7B"/>
    <w:rsid w:val="00DE2B44"/>
    <w:rsid w:val="00DE4D5F"/>
    <w:rsid w:val="00E0743D"/>
    <w:rsid w:val="00E0744D"/>
    <w:rsid w:val="00E14934"/>
    <w:rsid w:val="00E152D4"/>
    <w:rsid w:val="00E21297"/>
    <w:rsid w:val="00E23ED8"/>
    <w:rsid w:val="00E2470E"/>
    <w:rsid w:val="00E36412"/>
    <w:rsid w:val="00E3709E"/>
    <w:rsid w:val="00E53984"/>
    <w:rsid w:val="00E54E6D"/>
    <w:rsid w:val="00E553A5"/>
    <w:rsid w:val="00E55A89"/>
    <w:rsid w:val="00E65DD5"/>
    <w:rsid w:val="00E73D76"/>
    <w:rsid w:val="00E80E90"/>
    <w:rsid w:val="00E85008"/>
    <w:rsid w:val="00E86A43"/>
    <w:rsid w:val="00E870A7"/>
    <w:rsid w:val="00E922A4"/>
    <w:rsid w:val="00EA0341"/>
    <w:rsid w:val="00EA15D8"/>
    <w:rsid w:val="00EA5E56"/>
    <w:rsid w:val="00EB3A93"/>
    <w:rsid w:val="00EB5DE0"/>
    <w:rsid w:val="00EC1A7A"/>
    <w:rsid w:val="00EC35A6"/>
    <w:rsid w:val="00EC49B6"/>
    <w:rsid w:val="00ED197A"/>
    <w:rsid w:val="00ED532B"/>
    <w:rsid w:val="00ED68B0"/>
    <w:rsid w:val="00EE2C70"/>
    <w:rsid w:val="00EE65E5"/>
    <w:rsid w:val="00EE6943"/>
    <w:rsid w:val="00EF0363"/>
    <w:rsid w:val="00EF5BC8"/>
    <w:rsid w:val="00EF64D9"/>
    <w:rsid w:val="00EF7D36"/>
    <w:rsid w:val="00F02760"/>
    <w:rsid w:val="00F04F8D"/>
    <w:rsid w:val="00F203C5"/>
    <w:rsid w:val="00F24415"/>
    <w:rsid w:val="00F24DDA"/>
    <w:rsid w:val="00F30943"/>
    <w:rsid w:val="00F35DBD"/>
    <w:rsid w:val="00F36643"/>
    <w:rsid w:val="00F3665A"/>
    <w:rsid w:val="00F376A7"/>
    <w:rsid w:val="00F40D75"/>
    <w:rsid w:val="00F5442D"/>
    <w:rsid w:val="00F61C6D"/>
    <w:rsid w:val="00F639C9"/>
    <w:rsid w:val="00F647C4"/>
    <w:rsid w:val="00F75379"/>
    <w:rsid w:val="00F825CF"/>
    <w:rsid w:val="00F85619"/>
    <w:rsid w:val="00F8759C"/>
    <w:rsid w:val="00F91715"/>
    <w:rsid w:val="00FB29CF"/>
    <w:rsid w:val="00FB53C3"/>
    <w:rsid w:val="00FB55E9"/>
    <w:rsid w:val="00FB5C24"/>
    <w:rsid w:val="00FB6D21"/>
    <w:rsid w:val="00FB7256"/>
    <w:rsid w:val="00FC5801"/>
    <w:rsid w:val="00FC58D9"/>
    <w:rsid w:val="00FD680B"/>
    <w:rsid w:val="00FE19F4"/>
    <w:rsid w:val="00FE2FC3"/>
    <w:rsid w:val="00FE60F3"/>
    <w:rsid w:val="00FE6B38"/>
    <w:rsid w:val="00FF33B2"/>
    <w:rsid w:val="00FF6AFF"/>
    <w:rsid w:val="00FF7DF5"/>
    <w:rsid w:val="02472DF6"/>
    <w:rsid w:val="072B6889"/>
    <w:rsid w:val="07B72711"/>
    <w:rsid w:val="07F13D77"/>
    <w:rsid w:val="085F2648"/>
    <w:rsid w:val="0AA8162A"/>
    <w:rsid w:val="0C34192F"/>
    <w:rsid w:val="0C99624A"/>
    <w:rsid w:val="0D6F6671"/>
    <w:rsid w:val="0E2370F4"/>
    <w:rsid w:val="0EC6530E"/>
    <w:rsid w:val="0EEF586B"/>
    <w:rsid w:val="0FDF274E"/>
    <w:rsid w:val="10FC546C"/>
    <w:rsid w:val="129864B3"/>
    <w:rsid w:val="138E0DB2"/>
    <w:rsid w:val="13E97238"/>
    <w:rsid w:val="13F15B61"/>
    <w:rsid w:val="16B421D4"/>
    <w:rsid w:val="16B53801"/>
    <w:rsid w:val="19597137"/>
    <w:rsid w:val="196D7920"/>
    <w:rsid w:val="1A4F6BF9"/>
    <w:rsid w:val="1B11301F"/>
    <w:rsid w:val="1B9C53A5"/>
    <w:rsid w:val="1C385A47"/>
    <w:rsid w:val="1F370715"/>
    <w:rsid w:val="1F650B29"/>
    <w:rsid w:val="2148262D"/>
    <w:rsid w:val="21A6755F"/>
    <w:rsid w:val="23410473"/>
    <w:rsid w:val="24BC0409"/>
    <w:rsid w:val="2587603B"/>
    <w:rsid w:val="269A59CE"/>
    <w:rsid w:val="26D03BA9"/>
    <w:rsid w:val="279A77FE"/>
    <w:rsid w:val="29B921FE"/>
    <w:rsid w:val="29E24D54"/>
    <w:rsid w:val="29F766E0"/>
    <w:rsid w:val="2A447531"/>
    <w:rsid w:val="2B5B65BB"/>
    <w:rsid w:val="2BF15BED"/>
    <w:rsid w:val="2EAF2149"/>
    <w:rsid w:val="2FB56C1E"/>
    <w:rsid w:val="3030736C"/>
    <w:rsid w:val="312C3C37"/>
    <w:rsid w:val="32B9141A"/>
    <w:rsid w:val="32DE5837"/>
    <w:rsid w:val="32F42F66"/>
    <w:rsid w:val="33565F32"/>
    <w:rsid w:val="33FD5219"/>
    <w:rsid w:val="34995052"/>
    <w:rsid w:val="34F63F7D"/>
    <w:rsid w:val="36182A7D"/>
    <w:rsid w:val="36E74BCF"/>
    <w:rsid w:val="373A4AA7"/>
    <w:rsid w:val="39D90722"/>
    <w:rsid w:val="3AA659F6"/>
    <w:rsid w:val="3B954CFA"/>
    <w:rsid w:val="3CAB21E4"/>
    <w:rsid w:val="3CBF76F8"/>
    <w:rsid w:val="3D0C5120"/>
    <w:rsid w:val="3E17080D"/>
    <w:rsid w:val="3E216E15"/>
    <w:rsid w:val="415271BA"/>
    <w:rsid w:val="417C3150"/>
    <w:rsid w:val="419453CF"/>
    <w:rsid w:val="41993D85"/>
    <w:rsid w:val="43E70373"/>
    <w:rsid w:val="445855D8"/>
    <w:rsid w:val="44784B34"/>
    <w:rsid w:val="449F7312"/>
    <w:rsid w:val="450C5175"/>
    <w:rsid w:val="45DF1546"/>
    <w:rsid w:val="46607F75"/>
    <w:rsid w:val="46B33C96"/>
    <w:rsid w:val="4782152D"/>
    <w:rsid w:val="4A335717"/>
    <w:rsid w:val="4AA74F8A"/>
    <w:rsid w:val="4B9702FE"/>
    <w:rsid w:val="4BBE0C2D"/>
    <w:rsid w:val="4C2E456B"/>
    <w:rsid w:val="4ECE1A55"/>
    <w:rsid w:val="4F443FA1"/>
    <w:rsid w:val="4FAC48C2"/>
    <w:rsid w:val="504B134F"/>
    <w:rsid w:val="514E36D2"/>
    <w:rsid w:val="533927A1"/>
    <w:rsid w:val="54172514"/>
    <w:rsid w:val="548B20F0"/>
    <w:rsid w:val="550041E0"/>
    <w:rsid w:val="5617274D"/>
    <w:rsid w:val="56532C65"/>
    <w:rsid w:val="56C72C5B"/>
    <w:rsid w:val="57A81AC7"/>
    <w:rsid w:val="57F87D34"/>
    <w:rsid w:val="58151356"/>
    <w:rsid w:val="591440D6"/>
    <w:rsid w:val="596C1271"/>
    <w:rsid w:val="59981C74"/>
    <w:rsid w:val="5D176D58"/>
    <w:rsid w:val="5D2C55F5"/>
    <w:rsid w:val="5DC34675"/>
    <w:rsid w:val="5EE65064"/>
    <w:rsid w:val="5F8E75F0"/>
    <w:rsid w:val="60754C71"/>
    <w:rsid w:val="61A477B4"/>
    <w:rsid w:val="61BC4A0B"/>
    <w:rsid w:val="61F0729C"/>
    <w:rsid w:val="64636AF7"/>
    <w:rsid w:val="65C23262"/>
    <w:rsid w:val="678D7902"/>
    <w:rsid w:val="68D87B21"/>
    <w:rsid w:val="69EF2148"/>
    <w:rsid w:val="6B8442BB"/>
    <w:rsid w:val="6C8B6941"/>
    <w:rsid w:val="6D727E9E"/>
    <w:rsid w:val="6EB744D1"/>
    <w:rsid w:val="6EC8133C"/>
    <w:rsid w:val="6EFA7F88"/>
    <w:rsid w:val="6F3E0DF0"/>
    <w:rsid w:val="70E30ED8"/>
    <w:rsid w:val="71D723C1"/>
    <w:rsid w:val="728B7E24"/>
    <w:rsid w:val="77E75600"/>
    <w:rsid w:val="78A03BAD"/>
    <w:rsid w:val="78CB42E5"/>
    <w:rsid w:val="792C2906"/>
    <w:rsid w:val="7A7222AC"/>
    <w:rsid w:val="7B8B7BF5"/>
    <w:rsid w:val="7CFA3A06"/>
    <w:rsid w:val="7DD52229"/>
    <w:rsid w:val="7E554117"/>
    <w:rsid w:val="7FA6263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paragraph" w:styleId="2">
    <w:name w:val="heading 1"/>
    <w:basedOn w:val="1"/>
    <w:next w:val="1"/>
    <w:link w:val="19"/>
    <w:qFormat/>
    <w:uiPriority w:val="0"/>
    <w:pPr>
      <w:keepNext/>
      <w:keepLines/>
      <w:spacing w:before="50" w:beforeLines="50" w:after="50" w:afterLines="50" w:line="360" w:lineRule="auto"/>
      <w:ind w:left="2310" w:leftChars="100" w:rightChars="100"/>
      <w:jc w:val="center"/>
      <w:outlineLvl w:val="0"/>
    </w:pPr>
    <w:rPr>
      <w:rFonts w:eastAsia="黑体"/>
      <w:bCs/>
      <w:kern w:val="44"/>
      <w:sz w:val="32"/>
      <w:szCs w:val="44"/>
    </w:rPr>
  </w:style>
  <w:style w:type="paragraph" w:styleId="3">
    <w:name w:val="heading 2"/>
    <w:basedOn w:val="1"/>
    <w:next w:val="1"/>
    <w:link w:val="27"/>
    <w:qFormat/>
    <w:uiPriority w:val="0"/>
    <w:pPr>
      <w:keepNext/>
      <w:keepLines/>
      <w:spacing w:before="50" w:beforeLines="50" w:beforeAutospacing="0" w:after="50" w:afterLines="50" w:afterAutospacing="0" w:line="300" w:lineRule="auto"/>
      <w:outlineLvl w:val="1"/>
    </w:pPr>
    <w:rPr>
      <w:rFonts w:ascii="Arial" w:hAnsi="Arial" w:eastAsia="黑体"/>
      <w:sz w:val="32"/>
    </w:rPr>
  </w:style>
  <w:style w:type="paragraph" w:styleId="4">
    <w:name w:val="heading 3"/>
    <w:basedOn w:val="1"/>
    <w:next w:val="1"/>
    <w:link w:val="24"/>
    <w:qFormat/>
    <w:uiPriority w:val="0"/>
    <w:pPr>
      <w:keepNext/>
      <w:keepLines/>
      <w:spacing w:before="260" w:beforeLines="0" w:beforeAutospacing="0" w:after="260" w:afterLines="0" w:afterAutospacing="0" w:line="192" w:lineRule="auto"/>
      <w:outlineLvl w:val="2"/>
    </w:pPr>
    <w:rPr>
      <w:rFonts w:ascii="Times New Roman" w:hAnsi="Times New Roman" w:eastAsia="仿宋_GB2312"/>
      <w:sz w:val="30"/>
    </w:rPr>
  </w:style>
  <w:style w:type="paragraph" w:styleId="5">
    <w:name w:val="heading 4"/>
    <w:basedOn w:val="1"/>
    <w:next w:val="1"/>
    <w:link w:val="21"/>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6">
    <w:name w:val="toc 3"/>
    <w:basedOn w:val="1"/>
    <w:next w:val="1"/>
    <w:unhideWhenUsed/>
    <w:qFormat/>
    <w:uiPriority w:val="39"/>
    <w:pPr>
      <w:widowControl/>
      <w:spacing w:after="100" w:line="276" w:lineRule="auto"/>
      <w:ind w:left="440"/>
      <w:jc w:val="left"/>
    </w:pPr>
    <w:rPr>
      <w:rFonts w:ascii="Calibri" w:hAnsi="Calibri" w:eastAsia="宋体" w:cs="Times New Roman"/>
      <w:kern w:val="0"/>
      <w:sz w:val="22"/>
      <w:szCs w:val="22"/>
    </w:rPr>
  </w:style>
  <w:style w:type="paragraph" w:styleId="7">
    <w:name w:val="Balloon Text"/>
    <w:basedOn w:val="1"/>
    <w:link w:val="33"/>
    <w:qFormat/>
    <w:uiPriority w:val="0"/>
    <w:rPr>
      <w:sz w:val="18"/>
      <w:szCs w:val="18"/>
    </w:rPr>
  </w:style>
  <w:style w:type="paragraph" w:styleId="8">
    <w:name w:val="footer"/>
    <w:basedOn w:val="1"/>
    <w:link w:val="25"/>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widowControl/>
      <w:spacing w:after="100" w:line="276" w:lineRule="auto"/>
      <w:jc w:val="left"/>
    </w:pPr>
    <w:rPr>
      <w:rFonts w:ascii="Calibri" w:hAnsi="Calibri" w:eastAsia="宋体" w:cs="Times New Roman"/>
      <w:kern w:val="0"/>
      <w:sz w:val="22"/>
      <w:szCs w:val="22"/>
    </w:rPr>
  </w:style>
  <w:style w:type="paragraph" w:styleId="11">
    <w:name w:val="toc 2"/>
    <w:basedOn w:val="1"/>
    <w:next w:val="1"/>
    <w:unhideWhenUsed/>
    <w:qFormat/>
    <w:uiPriority w:val="39"/>
    <w:pPr>
      <w:widowControl/>
      <w:spacing w:after="100" w:line="276" w:lineRule="auto"/>
      <w:ind w:left="220"/>
      <w:jc w:val="left"/>
    </w:pPr>
    <w:rPr>
      <w:rFonts w:ascii="Calibri" w:hAnsi="Calibri" w:eastAsia="宋体" w:cs="Times New Roman"/>
      <w:kern w:val="0"/>
      <w:sz w:val="22"/>
      <w:szCs w:val="22"/>
    </w:rPr>
  </w:style>
  <w:style w:type="paragraph" w:styleId="12">
    <w:name w:val="Normal (Web)"/>
    <w:basedOn w:val="1"/>
    <w:qFormat/>
    <w:uiPriority w:val="99"/>
    <w:pPr>
      <w:spacing w:beforeAutospacing="1" w:afterAutospacing="1"/>
      <w:jc w:val="left"/>
    </w:pPr>
    <w:rPr>
      <w:rFonts w:ascii="Calibri" w:hAnsi="Calibri" w:eastAsia="宋体"/>
      <w:kern w:val="0"/>
      <w:sz w:val="24"/>
    </w:rPr>
  </w:style>
  <w:style w:type="paragraph" w:styleId="13">
    <w:name w:val="Title"/>
    <w:basedOn w:val="1"/>
    <w:next w:val="1"/>
    <w:link w:val="18"/>
    <w:qFormat/>
    <w:uiPriority w:val="0"/>
    <w:pPr>
      <w:spacing w:before="120" w:after="120"/>
      <w:ind w:leftChars="100" w:rightChars="100"/>
      <w:jc w:val="center"/>
      <w:outlineLvl w:val="0"/>
    </w:pPr>
    <w:rPr>
      <w:rFonts w:ascii="Cambria" w:hAnsi="Cambria" w:eastAsia="黑体" w:cs="Times New Roman"/>
      <w:b/>
      <w:bCs/>
      <w:sz w:val="32"/>
      <w:szCs w:val="32"/>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qFormat/>
    <w:uiPriority w:val="0"/>
  </w:style>
  <w:style w:type="character" w:customStyle="1" w:styleId="18">
    <w:name w:val="标题 Char"/>
    <w:link w:val="13"/>
    <w:qFormat/>
    <w:uiPriority w:val="0"/>
    <w:rPr>
      <w:rFonts w:ascii="Cambria" w:hAnsi="Cambria" w:eastAsia="黑体"/>
      <w:b/>
      <w:bCs/>
      <w:kern w:val="2"/>
      <w:sz w:val="32"/>
      <w:szCs w:val="32"/>
    </w:rPr>
  </w:style>
  <w:style w:type="character" w:customStyle="1" w:styleId="19">
    <w:name w:val="标题 1 Char"/>
    <w:link w:val="2"/>
    <w:qFormat/>
    <w:uiPriority w:val="0"/>
    <w:rPr>
      <w:rFonts w:ascii="Times New Roman" w:hAnsi="Times New Roman" w:eastAsia="黑体"/>
      <w:bCs/>
      <w:kern w:val="44"/>
      <w:sz w:val="32"/>
      <w:szCs w:val="44"/>
    </w:rPr>
  </w:style>
  <w:style w:type="character" w:customStyle="1" w:styleId="20">
    <w:name w:val="font161"/>
    <w:qFormat/>
    <w:uiPriority w:val="0"/>
    <w:rPr>
      <w:rFonts w:hint="eastAsia" w:ascii="宋体" w:hAnsi="宋体" w:eastAsia="宋体"/>
      <w:color w:val="000000"/>
      <w:sz w:val="20"/>
      <w:szCs w:val="20"/>
      <w:u w:val="none"/>
    </w:rPr>
  </w:style>
  <w:style w:type="character" w:customStyle="1" w:styleId="21">
    <w:name w:val="标题 4 Char"/>
    <w:link w:val="5"/>
    <w:qFormat/>
    <w:uiPriority w:val="0"/>
    <w:rPr>
      <w:rFonts w:ascii="Arial" w:hAnsi="Arial" w:eastAsia="黑体"/>
      <w:b/>
      <w:sz w:val="28"/>
    </w:rPr>
  </w:style>
  <w:style w:type="character" w:customStyle="1" w:styleId="22">
    <w:name w:val="font31"/>
    <w:qFormat/>
    <w:uiPriority w:val="0"/>
    <w:rPr>
      <w:rFonts w:hint="eastAsia" w:ascii="宋体" w:hAnsi="宋体" w:eastAsia="宋体"/>
      <w:b/>
      <w:bCs/>
      <w:color w:val="000000"/>
      <w:sz w:val="20"/>
      <w:szCs w:val="20"/>
      <w:u w:val="none"/>
    </w:rPr>
  </w:style>
  <w:style w:type="character" w:customStyle="1" w:styleId="23">
    <w:name w:val="font51"/>
    <w:qFormat/>
    <w:uiPriority w:val="0"/>
    <w:rPr>
      <w:rFonts w:hint="eastAsia" w:ascii="宋体" w:hAnsi="宋体" w:eastAsia="宋体" w:cs="宋体"/>
      <w:color w:val="000000"/>
      <w:sz w:val="22"/>
      <w:szCs w:val="22"/>
      <w:u w:val="none"/>
    </w:rPr>
  </w:style>
  <w:style w:type="character" w:customStyle="1" w:styleId="24">
    <w:name w:val="标题 3 Char"/>
    <w:link w:val="4"/>
    <w:qFormat/>
    <w:uiPriority w:val="0"/>
    <w:rPr>
      <w:rFonts w:ascii="Times New Roman" w:hAnsi="Times New Roman" w:eastAsia="仿宋_GB2312"/>
      <w:sz w:val="30"/>
    </w:rPr>
  </w:style>
  <w:style w:type="character" w:customStyle="1" w:styleId="25">
    <w:name w:val="页脚 Char"/>
    <w:link w:val="8"/>
    <w:qFormat/>
    <w:uiPriority w:val="99"/>
    <w:rPr>
      <w:kern w:val="2"/>
      <w:sz w:val="18"/>
      <w:szCs w:val="18"/>
    </w:rPr>
  </w:style>
  <w:style w:type="character" w:customStyle="1" w:styleId="26">
    <w:name w:val="font11"/>
    <w:qFormat/>
    <w:uiPriority w:val="0"/>
    <w:rPr>
      <w:rFonts w:hint="eastAsia" w:ascii="宋体" w:hAnsi="宋体" w:eastAsia="宋体" w:cs="宋体"/>
      <w:color w:val="000000"/>
      <w:sz w:val="22"/>
      <w:szCs w:val="22"/>
      <w:u w:val="none"/>
    </w:rPr>
  </w:style>
  <w:style w:type="character" w:customStyle="1" w:styleId="27">
    <w:name w:val="标题 2 Char"/>
    <w:link w:val="3"/>
    <w:qFormat/>
    <w:uiPriority w:val="0"/>
    <w:rPr>
      <w:rFonts w:ascii="Arial" w:hAnsi="Arial" w:eastAsia="黑体"/>
      <w:sz w:val="32"/>
    </w:rPr>
  </w:style>
  <w:style w:type="character" w:customStyle="1" w:styleId="28">
    <w:name w:val="正文1 Char"/>
    <w:link w:val="29"/>
    <w:qFormat/>
    <w:uiPriority w:val="0"/>
    <w:rPr>
      <w:rFonts w:ascii="Times New Roman" w:hAnsi="Times New Roman" w:eastAsia="楷体_GB2312"/>
      <w:kern w:val="2"/>
      <w:sz w:val="30"/>
      <w:szCs w:val="21"/>
      <w:lang w:val="en-US" w:eastAsia="zh-CN" w:bidi="ar-SA"/>
    </w:rPr>
  </w:style>
  <w:style w:type="paragraph" w:customStyle="1" w:styleId="29">
    <w:name w:val="正文1"/>
    <w:link w:val="28"/>
    <w:qFormat/>
    <w:uiPriority w:val="0"/>
    <w:pPr>
      <w:jc w:val="both"/>
    </w:pPr>
    <w:rPr>
      <w:rFonts w:ascii="Times New Roman" w:hAnsi="Times New Roman" w:eastAsia="楷体_GB2312" w:cs="Times New Roman"/>
      <w:kern w:val="2"/>
      <w:sz w:val="30"/>
      <w:szCs w:val="21"/>
      <w:lang w:val="en-US" w:eastAsia="zh-CN" w:bidi="ar-SA"/>
    </w:rPr>
  </w:style>
  <w:style w:type="character" w:customStyle="1" w:styleId="30">
    <w:name w:val="font101"/>
    <w:qFormat/>
    <w:uiPriority w:val="0"/>
    <w:rPr>
      <w:rFonts w:hint="eastAsia" w:ascii="宋体" w:hAnsi="宋体" w:eastAsia="宋体"/>
      <w:color w:val="000000"/>
      <w:sz w:val="20"/>
      <w:szCs w:val="20"/>
      <w:u w:val="none"/>
    </w:rPr>
  </w:style>
  <w:style w:type="character" w:customStyle="1" w:styleId="31">
    <w:name w:val="font131"/>
    <w:qFormat/>
    <w:uiPriority w:val="0"/>
    <w:rPr>
      <w:rFonts w:hint="eastAsia" w:ascii="宋体" w:hAnsi="宋体" w:eastAsia="宋体"/>
      <w:color w:val="000000"/>
      <w:sz w:val="20"/>
      <w:szCs w:val="20"/>
      <w:u w:val="none"/>
    </w:rPr>
  </w:style>
  <w:style w:type="character" w:customStyle="1" w:styleId="32">
    <w:name w:val="font81"/>
    <w:qFormat/>
    <w:uiPriority w:val="0"/>
    <w:rPr>
      <w:rFonts w:hint="eastAsia" w:ascii="宋体" w:hAnsi="宋体" w:eastAsia="宋体"/>
      <w:b/>
      <w:bCs/>
      <w:color w:val="000000"/>
      <w:sz w:val="20"/>
      <w:szCs w:val="20"/>
      <w:u w:val="none"/>
    </w:rPr>
  </w:style>
  <w:style w:type="character" w:customStyle="1" w:styleId="33">
    <w:name w:val="批注框文本 Char"/>
    <w:link w:val="7"/>
    <w:qFormat/>
    <w:uiPriority w:val="0"/>
    <w:rPr>
      <w:kern w:val="2"/>
      <w:sz w:val="18"/>
      <w:szCs w:val="18"/>
    </w:rPr>
  </w:style>
  <w:style w:type="paragraph" w:customStyle="1" w:styleId="34">
    <w:name w:val="WPSOffice手动目录 3"/>
    <w:qFormat/>
    <w:uiPriority w:val="0"/>
    <w:pPr>
      <w:ind w:leftChars="400"/>
    </w:pPr>
    <w:rPr>
      <w:rFonts w:ascii="Times New Roman" w:hAnsi="Times New Roman" w:eastAsia="宋体" w:cs="Times New Roman"/>
      <w:lang w:val="en-US" w:eastAsia="zh-CN" w:bidi="ar-SA"/>
    </w:rPr>
  </w:style>
  <w:style w:type="paragraph" w:customStyle="1" w:styleId="35">
    <w:name w:val="WPSOffice手动目录 1"/>
    <w:qFormat/>
    <w:uiPriority w:val="0"/>
    <w:pPr>
      <w:spacing w:line="360" w:lineRule="auto"/>
    </w:pPr>
    <w:rPr>
      <w:rFonts w:ascii="Times New Roman" w:hAnsi="Times New Roman" w:eastAsia="黑体" w:cs="Times New Roman"/>
      <w:sz w:val="24"/>
      <w:lang w:val="en-US" w:eastAsia="zh-CN" w:bidi="ar-SA"/>
    </w:rPr>
  </w:style>
  <w:style w:type="paragraph" w:customStyle="1" w:styleId="36">
    <w:name w:val="_Style 35"/>
    <w:basedOn w:val="2"/>
    <w:next w:val="1"/>
    <w:qFormat/>
    <w:uiPriority w:val="39"/>
    <w:pPr>
      <w:widowControl/>
      <w:spacing w:before="480" w:line="276" w:lineRule="auto"/>
      <w:ind w:left="0" w:leftChars="0" w:rightChars="0"/>
      <w:outlineLvl w:val="9"/>
    </w:pPr>
    <w:rPr>
      <w:rFonts w:ascii="Cambria" w:hAnsi="Cambria" w:eastAsia="宋体" w:cs="Times New Roman"/>
      <w:color w:val="365F91"/>
      <w:kern w:val="0"/>
      <w:sz w:val="28"/>
      <w:szCs w:val="28"/>
    </w:rPr>
  </w:style>
  <w:style w:type="paragraph" w:customStyle="1" w:styleId="37">
    <w:name w:val="WPSOffice手动目录 2"/>
    <w:qFormat/>
    <w:uiPriority w:val="0"/>
    <w:pPr>
      <w:spacing w:line="360" w:lineRule="auto"/>
      <w:ind w:leftChars="200"/>
    </w:pPr>
    <w:rPr>
      <w:rFonts w:ascii="Times New Roman" w:hAnsi="Times New Roman" w:eastAsia="黑体" w:cs="Times New Roman"/>
      <w:sz w:val="24"/>
      <w:lang w:val="en-US" w:eastAsia="zh-CN" w:bidi="ar-SA"/>
    </w:rPr>
  </w:style>
  <w:style w:type="paragraph" w:customStyle="1" w:styleId="38">
    <w:name w:val="Normal"/>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16</Pages>
  <Words>6370</Words>
  <Characters>6843</Characters>
  <Lines>55</Lines>
  <Paragraphs>15</Paragraphs>
  <TotalTime>1</TotalTime>
  <ScaleCrop>false</ScaleCrop>
  <LinksUpToDate>false</LinksUpToDate>
  <CharactersWithSpaces>6948</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2013-05-14T04:34:00Z</dcterms:created>
  <dc:creator>Administrator</dc:creator>
  <cp:lastModifiedBy>lenovo</cp:lastModifiedBy>
  <cp:lastPrinted>2022-08-03T03:20:00Z</cp:lastPrinted>
  <dcterms:modified xsi:type="dcterms:W3CDTF">2022-08-05T06:58:57Z</dcterms:modified>
  <dc:title>遵义市市本级2013年部门预算及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695F5FC1F660431589855AF265768344</vt:lpwstr>
  </property>
</Properties>
</file>